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AAF88" w14:textId="77777777" w:rsidR="00545E85" w:rsidRPr="00D2791D" w:rsidRDefault="00545E85" w:rsidP="5177A449">
      <w:pPr>
        <w:tabs>
          <w:tab w:val="left" w:pos="5103"/>
        </w:tabs>
        <w:rPr>
          <w:rFonts w:eastAsia="Times New Roman"/>
          <w:b/>
          <w:bCs/>
          <w:szCs w:val="24"/>
        </w:rPr>
      </w:pPr>
      <w:proofErr w:type="spellStart"/>
      <w:r w:rsidRPr="5177A449">
        <w:rPr>
          <w:rFonts w:eastAsia="Times New Roman"/>
          <w:b/>
          <w:bCs/>
          <w:szCs w:val="24"/>
        </w:rPr>
        <w:t>Liisa-Ly</w:t>
      </w:r>
      <w:proofErr w:type="spellEnd"/>
      <w:r w:rsidRPr="5177A449">
        <w:rPr>
          <w:rFonts w:eastAsia="Times New Roman"/>
          <w:b/>
          <w:bCs/>
          <w:szCs w:val="24"/>
        </w:rPr>
        <w:t xml:space="preserve"> Pakosta</w:t>
      </w:r>
    </w:p>
    <w:p w14:paraId="1DB4CA22" w14:textId="7A0E10C8" w:rsidR="007C1294" w:rsidRPr="00DA6AD9" w:rsidRDefault="00BB6225" w:rsidP="5177A449">
      <w:pPr>
        <w:tabs>
          <w:tab w:val="left" w:pos="5103"/>
        </w:tabs>
        <w:rPr>
          <w:rFonts w:eastAsia="Times New Roman"/>
          <w:szCs w:val="24"/>
        </w:rPr>
      </w:pPr>
      <w:r w:rsidRPr="5177A449">
        <w:rPr>
          <w:rFonts w:eastAsia="Times New Roman"/>
          <w:szCs w:val="24"/>
        </w:rPr>
        <w:t>Justiits- ja digiminister</w:t>
      </w:r>
      <w:r>
        <w:tab/>
      </w:r>
    </w:p>
    <w:p w14:paraId="4B89AB00" w14:textId="661D836B" w:rsidR="007C1294" w:rsidRDefault="00345CDF" w:rsidP="5177A449">
      <w:pPr>
        <w:rPr>
          <w:rFonts w:eastAsia="Times New Roman"/>
          <w:szCs w:val="24"/>
        </w:rPr>
      </w:pPr>
      <w:r w:rsidRPr="5177A449">
        <w:rPr>
          <w:rFonts w:eastAsia="Times New Roman"/>
          <w:szCs w:val="24"/>
        </w:rPr>
        <w:t>Justiits- ja Digiministeerium</w:t>
      </w:r>
      <w:r w:rsidR="00A21E05" w:rsidRPr="5177A449">
        <w:rPr>
          <w:rFonts w:eastAsia="Times New Roman"/>
          <w:szCs w:val="24"/>
        </w:rPr>
        <w:t xml:space="preserve">                                                     Teie </w:t>
      </w:r>
      <w:r w:rsidR="00132964">
        <w:rPr>
          <w:rFonts w:eastAsia="Times New Roman"/>
          <w:szCs w:val="24"/>
        </w:rPr>
        <w:t>22</w:t>
      </w:r>
      <w:r w:rsidR="00A21E05" w:rsidRPr="5177A449">
        <w:rPr>
          <w:rFonts w:eastAsia="Times New Roman"/>
          <w:szCs w:val="24"/>
        </w:rPr>
        <w:t>.0</w:t>
      </w:r>
      <w:r w:rsidR="00F131CA" w:rsidRPr="5177A449">
        <w:rPr>
          <w:rFonts w:eastAsia="Times New Roman"/>
          <w:szCs w:val="24"/>
        </w:rPr>
        <w:t>9</w:t>
      </w:r>
      <w:r w:rsidR="00A21E05" w:rsidRPr="5177A449">
        <w:rPr>
          <w:rFonts w:eastAsia="Times New Roman"/>
          <w:szCs w:val="24"/>
        </w:rPr>
        <w:t>.202</w:t>
      </w:r>
      <w:r w:rsidR="00F131CA" w:rsidRPr="5177A449">
        <w:rPr>
          <w:rFonts w:eastAsia="Times New Roman"/>
          <w:szCs w:val="24"/>
        </w:rPr>
        <w:t>6</w:t>
      </w:r>
      <w:r w:rsidR="00A21E05" w:rsidRPr="5177A449">
        <w:rPr>
          <w:rFonts w:eastAsia="Times New Roman"/>
          <w:szCs w:val="24"/>
        </w:rPr>
        <w:t xml:space="preserve"> nr </w:t>
      </w:r>
      <w:r w:rsidR="0043738A">
        <w:rPr>
          <w:rFonts w:eastAsia="Times New Roman"/>
          <w:szCs w:val="24"/>
        </w:rPr>
        <w:t>8-1</w:t>
      </w:r>
      <w:r w:rsidR="00C20404">
        <w:rPr>
          <w:rFonts w:eastAsia="Times New Roman"/>
          <w:szCs w:val="24"/>
        </w:rPr>
        <w:t>/6782-1</w:t>
      </w:r>
    </w:p>
    <w:p w14:paraId="412EE9E4" w14:textId="3B7D996D" w:rsidR="00DF342C" w:rsidRDefault="1B637B2F" w:rsidP="0E64E300">
      <w:pPr>
        <w:tabs>
          <w:tab w:val="left" w:pos="5103"/>
        </w:tabs>
        <w:rPr>
          <w:rFonts w:eastAsia="Times New Roman"/>
        </w:rPr>
      </w:pPr>
      <w:hyperlink r:id="rId10">
        <w:r w:rsidRPr="0E64E300">
          <w:rPr>
            <w:rStyle w:val="Hyperlink"/>
            <w:rFonts w:eastAsia="Times New Roman"/>
          </w:rPr>
          <w:t>info@justdigi.ee</w:t>
        </w:r>
      </w:hyperlink>
      <w:r w:rsidRPr="0E64E300">
        <w:rPr>
          <w:rFonts w:eastAsia="Times New Roman"/>
        </w:rPr>
        <w:t xml:space="preserve"> </w:t>
      </w:r>
      <w:r w:rsidR="00DF342C">
        <w:tab/>
      </w:r>
      <w:r w:rsidR="00DF342C">
        <w:tab/>
      </w:r>
      <w:r w:rsidR="35DE7A8C">
        <w:t xml:space="preserve">    </w:t>
      </w:r>
      <w:r w:rsidR="67D748E9" w:rsidRPr="0E64E300">
        <w:rPr>
          <w:rFonts w:eastAsia="Times New Roman"/>
        </w:rPr>
        <w:t>Meie 1</w:t>
      </w:r>
      <w:r w:rsidR="4C78B35C" w:rsidRPr="0E64E300">
        <w:rPr>
          <w:rFonts w:eastAsia="Times New Roman"/>
        </w:rPr>
        <w:t>3</w:t>
      </w:r>
      <w:r w:rsidR="67D748E9" w:rsidRPr="0E64E300">
        <w:rPr>
          <w:rFonts w:eastAsia="Times New Roman"/>
        </w:rPr>
        <w:t>.</w:t>
      </w:r>
      <w:r w:rsidR="4C78B35C" w:rsidRPr="0E64E300">
        <w:rPr>
          <w:rFonts w:eastAsia="Times New Roman"/>
        </w:rPr>
        <w:t>10</w:t>
      </w:r>
      <w:r w:rsidR="67D748E9" w:rsidRPr="0E64E300">
        <w:rPr>
          <w:rFonts w:eastAsia="Times New Roman"/>
        </w:rPr>
        <w:t>.202</w:t>
      </w:r>
      <w:r w:rsidR="1AEB38F6" w:rsidRPr="0E64E300">
        <w:rPr>
          <w:rFonts w:eastAsia="Times New Roman"/>
        </w:rPr>
        <w:t>6</w:t>
      </w:r>
      <w:r w:rsidR="67D748E9" w:rsidRPr="0E64E300">
        <w:rPr>
          <w:rFonts w:eastAsia="Times New Roman"/>
        </w:rPr>
        <w:t xml:space="preserve"> nr </w:t>
      </w:r>
      <w:r w:rsidR="466EC809" w:rsidRPr="0E64E300">
        <w:rPr>
          <w:rFonts w:eastAsia="Times New Roman"/>
        </w:rPr>
        <w:t>1-8/26/97-1</w:t>
      </w:r>
    </w:p>
    <w:p w14:paraId="41F2BC6D" w14:textId="392F61A2" w:rsidR="00CE4A41" w:rsidRPr="00DA6AD9" w:rsidRDefault="00363019" w:rsidP="5177A449">
      <w:pPr>
        <w:tabs>
          <w:tab w:val="left" w:pos="5103"/>
        </w:tabs>
        <w:rPr>
          <w:rFonts w:eastAsia="Times New Roman"/>
          <w:szCs w:val="24"/>
        </w:rPr>
      </w:pPr>
      <w:r w:rsidRPr="5177A449">
        <w:rPr>
          <w:rFonts w:eastAsia="Times New Roman"/>
          <w:szCs w:val="24"/>
        </w:rPr>
        <w:t xml:space="preserve">  </w:t>
      </w:r>
      <w:r w:rsidR="007C1294" w:rsidRPr="5177A449">
        <w:rPr>
          <w:rFonts w:eastAsia="Times New Roman"/>
          <w:szCs w:val="24"/>
        </w:rPr>
        <w:t xml:space="preserve"> </w:t>
      </w:r>
      <w:r w:rsidR="00CE4A41" w:rsidRPr="5177A449">
        <w:rPr>
          <w:rFonts w:eastAsia="Times New Roman"/>
          <w:szCs w:val="24"/>
        </w:rPr>
        <w:t xml:space="preserve">                                                                           </w:t>
      </w:r>
    </w:p>
    <w:p w14:paraId="3BBB341F" w14:textId="18336782" w:rsidR="007C1294" w:rsidRDefault="007C1294" w:rsidP="5177A449">
      <w:pPr>
        <w:rPr>
          <w:rFonts w:eastAsia="Times New Roman"/>
          <w:b/>
          <w:bCs/>
          <w:szCs w:val="24"/>
        </w:rPr>
      </w:pPr>
    </w:p>
    <w:p w14:paraId="17CB64D4" w14:textId="77777777" w:rsidR="007C1294" w:rsidRDefault="007C1294" w:rsidP="5177A449">
      <w:pPr>
        <w:rPr>
          <w:rFonts w:eastAsia="Times New Roman"/>
          <w:b/>
          <w:bCs/>
          <w:szCs w:val="24"/>
        </w:rPr>
      </w:pPr>
    </w:p>
    <w:p w14:paraId="70E7CB24" w14:textId="77777777" w:rsidR="007C1294" w:rsidRDefault="007C1294" w:rsidP="5177A449">
      <w:pPr>
        <w:rPr>
          <w:rFonts w:eastAsia="Times New Roman"/>
          <w:b/>
          <w:bCs/>
          <w:szCs w:val="24"/>
        </w:rPr>
      </w:pPr>
      <w:r w:rsidRPr="5177A449">
        <w:rPr>
          <w:rFonts w:eastAsia="Times New Roman"/>
          <w:b/>
          <w:bCs/>
          <w:szCs w:val="24"/>
        </w:rPr>
        <w:t xml:space="preserve"> </w:t>
      </w:r>
    </w:p>
    <w:p w14:paraId="1FC724A0" w14:textId="104AF8CC" w:rsidR="00390077" w:rsidRDefault="00387849" w:rsidP="5177A449">
      <w:pPr>
        <w:widowControl/>
        <w:suppressAutoHyphens w:val="0"/>
        <w:spacing w:after="160"/>
        <w:jc w:val="both"/>
        <w:rPr>
          <w:rFonts w:eastAsia="Times New Roman"/>
          <w:b/>
          <w:bCs/>
          <w:color w:val="auto"/>
          <w:kern w:val="2"/>
          <w:szCs w:val="24"/>
          <w:lang w:eastAsia="en-US"/>
          <w14:ligatures w14:val="standardContextual"/>
        </w:rPr>
      </w:pPr>
      <w:r w:rsidRPr="5177A449">
        <w:rPr>
          <w:rFonts w:eastAsia="Times New Roman"/>
          <w:b/>
          <w:bCs/>
          <w:color w:val="auto"/>
          <w:kern w:val="2"/>
          <w:szCs w:val="24"/>
          <w:lang w:eastAsia="en-US"/>
          <w14:ligatures w14:val="standardContextual"/>
        </w:rPr>
        <w:t xml:space="preserve">Eesti Advokatuuri seisukohad </w:t>
      </w:r>
      <w:r w:rsidR="003836CE">
        <w:rPr>
          <w:rFonts w:eastAsia="Times New Roman"/>
          <w:b/>
          <w:bCs/>
          <w:color w:val="auto"/>
          <w:kern w:val="2"/>
          <w:szCs w:val="24"/>
          <w:lang w:eastAsia="en-US"/>
          <w14:ligatures w14:val="standardContextual"/>
        </w:rPr>
        <w:t>täitemenetluse seadustiku muutmise seaduse eelnõu</w:t>
      </w:r>
      <w:r w:rsidR="00DA172F">
        <w:rPr>
          <w:rFonts w:eastAsia="Times New Roman"/>
          <w:b/>
          <w:bCs/>
          <w:color w:val="auto"/>
          <w:kern w:val="2"/>
          <w:szCs w:val="24"/>
          <w:lang w:eastAsia="en-US"/>
          <w14:ligatures w14:val="standardContextual"/>
        </w:rPr>
        <w:t xml:space="preserve"> (täitemenetluse peatamise regulatsiooni muutmi</w:t>
      </w:r>
      <w:r w:rsidR="0038435F">
        <w:rPr>
          <w:rFonts w:eastAsia="Times New Roman"/>
          <w:b/>
          <w:bCs/>
          <w:color w:val="auto"/>
          <w:kern w:val="2"/>
          <w:szCs w:val="24"/>
          <w:lang w:eastAsia="en-US"/>
          <w14:ligatures w14:val="standardContextual"/>
        </w:rPr>
        <w:t>n</w:t>
      </w:r>
      <w:r w:rsidR="00DA172F">
        <w:rPr>
          <w:rFonts w:eastAsia="Times New Roman"/>
          <w:b/>
          <w:bCs/>
          <w:color w:val="auto"/>
          <w:kern w:val="2"/>
          <w:szCs w:val="24"/>
          <w:lang w:eastAsia="en-US"/>
          <w14:ligatures w14:val="standardContextual"/>
        </w:rPr>
        <w:t>e)</w:t>
      </w:r>
      <w:r w:rsidR="00390077" w:rsidRPr="5177A449">
        <w:rPr>
          <w:rFonts w:eastAsia="Times New Roman"/>
          <w:b/>
          <w:bCs/>
          <w:color w:val="auto"/>
          <w:kern w:val="2"/>
          <w:szCs w:val="24"/>
          <w:lang w:eastAsia="en-US"/>
          <w14:ligatures w14:val="standardContextual"/>
        </w:rPr>
        <w:t xml:space="preserve"> </w:t>
      </w:r>
      <w:r w:rsidR="00DA172F">
        <w:rPr>
          <w:rFonts w:eastAsia="Times New Roman"/>
          <w:b/>
          <w:bCs/>
          <w:color w:val="auto"/>
          <w:kern w:val="2"/>
          <w:szCs w:val="24"/>
          <w:lang w:eastAsia="en-US"/>
          <w14:ligatures w14:val="standardContextual"/>
        </w:rPr>
        <w:t>väljatöötamiskavatsusele</w:t>
      </w:r>
    </w:p>
    <w:p w14:paraId="5726C1E1" w14:textId="77777777" w:rsidR="00202526" w:rsidRDefault="00202526" w:rsidP="5177A449">
      <w:pPr>
        <w:widowControl/>
        <w:suppressAutoHyphens w:val="0"/>
        <w:spacing w:after="160"/>
        <w:jc w:val="both"/>
        <w:rPr>
          <w:rFonts w:eastAsia="Times New Roman"/>
          <w:b/>
          <w:bCs/>
          <w:color w:val="auto"/>
          <w:kern w:val="2"/>
          <w:szCs w:val="24"/>
          <w:lang w:eastAsia="en-US"/>
          <w14:ligatures w14:val="standardContextual"/>
        </w:rPr>
      </w:pPr>
    </w:p>
    <w:p w14:paraId="31B387D7" w14:textId="77777777" w:rsidR="00D538B9" w:rsidRDefault="50DE5062" w:rsidP="0E64E300">
      <w:pPr>
        <w:widowControl/>
        <w:suppressAutoHyphens w:val="0"/>
        <w:spacing w:after="160"/>
        <w:rPr>
          <w:rFonts w:eastAsia="Times New Roman"/>
          <w:color w:val="auto"/>
          <w:kern w:val="2"/>
          <w:szCs w:val="24"/>
          <w:lang w:eastAsia="en-US"/>
          <w14:ligatures w14:val="standardContextual"/>
        </w:rPr>
      </w:pPr>
      <w:r w:rsidRPr="0E64E300">
        <w:rPr>
          <w:rFonts w:eastAsia="Times New Roman"/>
          <w:color w:val="auto"/>
          <w:kern w:val="2"/>
          <w:szCs w:val="24"/>
          <w:lang w:eastAsia="en-US"/>
          <w14:ligatures w14:val="standardContextual"/>
        </w:rPr>
        <w:t xml:space="preserve">Lugupeetud </w:t>
      </w:r>
      <w:proofErr w:type="spellStart"/>
      <w:r w:rsidRPr="0E64E300">
        <w:rPr>
          <w:rFonts w:eastAsia="Times New Roman"/>
          <w:color w:val="auto"/>
          <w:kern w:val="2"/>
          <w:szCs w:val="24"/>
          <w:lang w:eastAsia="en-US"/>
          <w14:ligatures w14:val="standardContextual"/>
        </w:rPr>
        <w:t>Liisa-Ly</w:t>
      </w:r>
      <w:proofErr w:type="spellEnd"/>
      <w:r w:rsidRPr="0E64E300">
        <w:rPr>
          <w:rFonts w:eastAsia="Times New Roman"/>
          <w:color w:val="auto"/>
          <w:kern w:val="2"/>
          <w:szCs w:val="24"/>
          <w:lang w:eastAsia="en-US"/>
          <w14:ligatures w14:val="standardContextual"/>
        </w:rPr>
        <w:t xml:space="preserve"> Pakosta</w:t>
      </w:r>
    </w:p>
    <w:p w14:paraId="7463B154" w14:textId="77777777" w:rsidR="00DB5C5E" w:rsidRDefault="00DB5C5E" w:rsidP="0E64E300">
      <w:pPr>
        <w:widowControl/>
        <w:suppressAutoHyphens w:val="0"/>
        <w:spacing w:after="160"/>
        <w:rPr>
          <w:rFonts w:eastAsia="Times New Roman"/>
          <w:color w:val="auto"/>
          <w:kern w:val="2"/>
          <w:szCs w:val="24"/>
          <w:lang w:eastAsia="en-US"/>
          <w14:ligatures w14:val="standardContextual"/>
        </w:rPr>
      </w:pPr>
    </w:p>
    <w:p w14:paraId="4BE09092" w14:textId="597A9C98" w:rsidR="00CB50EF" w:rsidRPr="00AF519E" w:rsidRDefault="50DE5062" w:rsidP="0E64E300">
      <w:pPr>
        <w:widowControl/>
        <w:suppressAutoHyphens w:val="0"/>
        <w:spacing w:after="160"/>
        <w:jc w:val="both"/>
        <w:rPr>
          <w:rFonts w:eastAsia="Times New Roman"/>
          <w:color w:val="auto"/>
          <w:kern w:val="2"/>
          <w:szCs w:val="24"/>
          <w:lang w:eastAsia="en-US"/>
          <w14:ligatures w14:val="standardContextual"/>
        </w:rPr>
      </w:pPr>
      <w:r w:rsidRPr="0E64E300">
        <w:rPr>
          <w:rFonts w:eastAsia="Times New Roman"/>
          <w:szCs w:val="24"/>
        </w:rPr>
        <w:t xml:space="preserve">Täname, et olete advokatuurile </w:t>
      </w:r>
      <w:r w:rsidR="25C10963" w:rsidRPr="0E64E300">
        <w:rPr>
          <w:rFonts w:eastAsia="Times New Roman"/>
          <w:szCs w:val="24"/>
        </w:rPr>
        <w:t>andnud võimaluse</w:t>
      </w:r>
      <w:r w:rsidRPr="0E64E300">
        <w:rPr>
          <w:rFonts w:eastAsia="Times New Roman"/>
          <w:szCs w:val="24"/>
        </w:rPr>
        <w:t xml:space="preserve"> </w:t>
      </w:r>
      <w:r w:rsidR="25C10963" w:rsidRPr="0E64E300">
        <w:rPr>
          <w:rFonts w:eastAsia="Times New Roman"/>
          <w:szCs w:val="24"/>
        </w:rPr>
        <w:t>avaldada arvamust</w:t>
      </w:r>
      <w:r w:rsidRPr="0E64E300">
        <w:rPr>
          <w:rFonts w:eastAsia="Times New Roman"/>
          <w:szCs w:val="24"/>
        </w:rPr>
        <w:t xml:space="preserve"> </w:t>
      </w:r>
      <w:r w:rsidR="483544B1" w:rsidRPr="0E64E300">
        <w:rPr>
          <w:rFonts w:eastAsia="Times New Roman"/>
          <w:color w:val="auto"/>
          <w:kern w:val="2"/>
          <w:szCs w:val="24"/>
          <w:lang w:eastAsia="en-US"/>
          <w14:ligatures w14:val="standardContextual"/>
        </w:rPr>
        <w:t>täitemen</w:t>
      </w:r>
      <w:r w:rsidR="2711201A" w:rsidRPr="0E64E300">
        <w:rPr>
          <w:rFonts w:eastAsia="Times New Roman"/>
          <w:color w:val="auto"/>
          <w:kern w:val="2"/>
          <w:szCs w:val="24"/>
          <w:lang w:eastAsia="en-US"/>
          <w14:ligatures w14:val="standardContextual"/>
        </w:rPr>
        <w:t>etlus</w:t>
      </w:r>
      <w:r w:rsidR="25A87A8D" w:rsidRPr="0E64E300">
        <w:rPr>
          <w:rFonts w:eastAsia="Times New Roman"/>
          <w:color w:val="auto"/>
          <w:szCs w:val="24"/>
          <w:lang w:eastAsia="en-US"/>
        </w:rPr>
        <w:t>e</w:t>
      </w:r>
      <w:r w:rsidR="2711201A" w:rsidRPr="0E64E300">
        <w:rPr>
          <w:rFonts w:eastAsia="Times New Roman"/>
          <w:color w:val="auto"/>
          <w:szCs w:val="24"/>
          <w:lang w:eastAsia="en-US"/>
        </w:rPr>
        <w:t xml:space="preserve"> seadustiku muutmise seaduse eelnõu (täitemenetluse peatamise regulatsiooni muutmine)</w:t>
      </w:r>
      <w:r w:rsidR="032E19E7" w:rsidRPr="0E64E300">
        <w:rPr>
          <w:rFonts w:eastAsia="Times New Roman"/>
          <w:color w:val="auto"/>
          <w:szCs w:val="24"/>
          <w:lang w:eastAsia="en-US"/>
        </w:rPr>
        <w:t xml:space="preserve"> VTK-le.</w:t>
      </w:r>
    </w:p>
    <w:p w14:paraId="4EF52CA7" w14:textId="3004F435" w:rsidR="009B2014" w:rsidRPr="00AF519E" w:rsidRDefault="42FB816A" w:rsidP="0E64E300">
      <w:pPr>
        <w:widowControl/>
        <w:spacing w:after="160"/>
        <w:jc w:val="both"/>
        <w:rPr>
          <w:rFonts w:eastAsia="Times New Roman"/>
          <w:color w:val="auto"/>
          <w:szCs w:val="24"/>
        </w:rPr>
      </w:pPr>
      <w:r w:rsidRPr="0E64E300">
        <w:rPr>
          <w:rFonts w:eastAsia="Times New Roman"/>
          <w:color w:val="auto"/>
          <w:szCs w:val="24"/>
        </w:rPr>
        <w:t xml:space="preserve">VTK-ga soovitakse muuta täitemenetluse peatamise regulatsioon paindlikumaks ja õigusselgemaks. </w:t>
      </w:r>
      <w:r w:rsidR="0E060913" w:rsidRPr="0E64E300">
        <w:rPr>
          <w:rFonts w:eastAsia="Times New Roman"/>
          <w:color w:val="auto"/>
          <w:szCs w:val="24"/>
        </w:rPr>
        <w:t>Peamised</w:t>
      </w:r>
      <w:r w:rsidR="6A4A0080" w:rsidRPr="0E64E300">
        <w:rPr>
          <w:rFonts w:eastAsia="Times New Roman"/>
          <w:color w:val="auto"/>
          <w:szCs w:val="24"/>
        </w:rPr>
        <w:t xml:space="preserve"> VTK-s</w:t>
      </w:r>
      <w:r w:rsidR="0E060913" w:rsidRPr="0E64E300">
        <w:rPr>
          <w:rFonts w:eastAsia="Times New Roman"/>
          <w:color w:val="auto"/>
          <w:szCs w:val="24"/>
        </w:rPr>
        <w:t xml:space="preserve"> kavandatavad muudatused puudutavad täitemenetluse osalise või täies ulatuses peatamise võimaldamist, peatamise mõju täpsustamist võlgniku sissetulekule ja konto arestimisele, täitemenetluse peatamist mitme konkureeriva täitemenetluse puhul ning füüsilise isiku MJA menetlemisel, samuti reguleeritakse täitemenetluse peatamise mõju sundtäitmise aegumisele ning täitemenetluse peatamist võlgniku surma korral.</w:t>
      </w:r>
    </w:p>
    <w:p w14:paraId="1D347B2F" w14:textId="3D1EF0A8" w:rsidR="37FD2ABC" w:rsidRDefault="37FD2ABC" w:rsidP="0E64E300">
      <w:pPr>
        <w:widowControl/>
        <w:spacing w:after="160"/>
        <w:jc w:val="both"/>
        <w:rPr>
          <w:rFonts w:eastAsia="Times New Roman"/>
          <w:color w:val="auto"/>
          <w:szCs w:val="24"/>
        </w:rPr>
      </w:pPr>
      <w:r w:rsidRPr="0E64E300">
        <w:rPr>
          <w:rFonts w:eastAsia="Times New Roman"/>
          <w:color w:val="auto"/>
          <w:szCs w:val="24"/>
        </w:rPr>
        <w:t>Advokatuur esitab alljärgnevalt oma seisukohad VTK-s kavandatud muudatuste kohta.</w:t>
      </w:r>
    </w:p>
    <w:p w14:paraId="57EF6F6E" w14:textId="5ED21AA1" w:rsidR="00914708" w:rsidRPr="00367232" w:rsidRDefault="530A20C6" w:rsidP="0E64E300">
      <w:pPr>
        <w:spacing w:after="160"/>
        <w:jc w:val="both"/>
        <w:rPr>
          <w:rFonts w:eastAsia="Times New Roman"/>
          <w:b/>
          <w:bCs/>
          <w:szCs w:val="24"/>
          <w:lang w:val="en-US"/>
        </w:rPr>
      </w:pPr>
      <w:r w:rsidRPr="0E64E300">
        <w:rPr>
          <w:rFonts w:eastAsia="Times New Roman"/>
          <w:b/>
          <w:bCs/>
          <w:szCs w:val="24"/>
          <w:lang w:val="en-US"/>
        </w:rPr>
        <w:t xml:space="preserve">1. </w:t>
      </w:r>
      <w:r w:rsidRPr="0E64E300">
        <w:rPr>
          <w:rFonts w:eastAsia="Times New Roman"/>
          <w:szCs w:val="24"/>
        </w:rPr>
        <w:t>TMS-i regulatsiooni on kavas täiendada normiga, mis võimaldab peatada täitemenetluse kas osaliselt või täies ulatuses</w:t>
      </w:r>
      <w:r w:rsidR="6383E214" w:rsidRPr="0E64E300">
        <w:rPr>
          <w:rFonts w:eastAsia="Times New Roman"/>
          <w:szCs w:val="24"/>
        </w:rPr>
        <w:t>.</w:t>
      </w:r>
    </w:p>
    <w:p w14:paraId="3E9AD400" w14:textId="454BB627" w:rsidR="00B35BE8" w:rsidRDefault="2F022D02" w:rsidP="0E64E300">
      <w:pPr>
        <w:spacing w:after="160"/>
        <w:jc w:val="both"/>
        <w:rPr>
          <w:rFonts w:eastAsia="Times New Roman"/>
          <w:szCs w:val="24"/>
        </w:rPr>
      </w:pPr>
      <w:r w:rsidRPr="0E64E300">
        <w:rPr>
          <w:rFonts w:eastAsia="Times New Roman"/>
          <w:szCs w:val="24"/>
        </w:rPr>
        <w:t>Advokatuur pooldab täitemenetluse osalise või täies ulatuses peatamise võimaldamist. Peatamise aluse ilmnemisel tuleks täitemenetlus peatada nii kitsas osas kui võimalik ning ülejäänud summa, vara liigi või muu osa</w:t>
      </w:r>
      <w:r w:rsidR="29E5C5E0" w:rsidRPr="0E64E300">
        <w:rPr>
          <w:rFonts w:eastAsia="Times New Roman"/>
          <w:szCs w:val="24"/>
        </w:rPr>
        <w:t>s</w:t>
      </w:r>
      <w:r w:rsidRPr="0E64E300">
        <w:rPr>
          <w:rFonts w:eastAsia="Times New Roman"/>
          <w:szCs w:val="24"/>
        </w:rPr>
        <w:t xml:space="preserve"> sundtäitmist jätkata. </w:t>
      </w:r>
      <w:r w:rsidR="2AB4987B" w:rsidRPr="0E64E300">
        <w:rPr>
          <w:rFonts w:eastAsia="Times New Roman"/>
          <w:szCs w:val="24"/>
        </w:rPr>
        <w:t xml:space="preserve">Kuivõrd </w:t>
      </w:r>
      <w:r w:rsidRPr="0E64E300">
        <w:rPr>
          <w:rFonts w:eastAsia="Times New Roman"/>
          <w:szCs w:val="24"/>
        </w:rPr>
        <w:t>VTK kohaselt jääb osalise peatamise võimalikkus ja ulatus kohtutäituri või kohtu hinnata, võiks sättesse</w:t>
      </w:r>
      <w:r w:rsidR="4310C7A9" w:rsidRPr="0E64E300">
        <w:rPr>
          <w:rFonts w:eastAsia="Times New Roman"/>
          <w:szCs w:val="24"/>
        </w:rPr>
        <w:t xml:space="preserve"> </w:t>
      </w:r>
      <w:r w:rsidR="2B021C92" w:rsidRPr="0E64E300">
        <w:rPr>
          <w:rFonts w:eastAsia="Times New Roman"/>
          <w:szCs w:val="24"/>
        </w:rPr>
        <w:t xml:space="preserve">seega </w:t>
      </w:r>
      <w:r w:rsidRPr="0E64E300">
        <w:rPr>
          <w:rFonts w:eastAsia="Times New Roman"/>
          <w:szCs w:val="24"/>
        </w:rPr>
        <w:t xml:space="preserve">lisada, et täitemenetlus </w:t>
      </w:r>
      <w:r w:rsidR="48E3917A" w:rsidRPr="0E64E300">
        <w:rPr>
          <w:rFonts w:eastAsia="Times New Roman"/>
          <w:szCs w:val="24"/>
        </w:rPr>
        <w:t xml:space="preserve">tuleb </w:t>
      </w:r>
      <w:r w:rsidRPr="0E64E300">
        <w:rPr>
          <w:rFonts w:eastAsia="Times New Roman"/>
          <w:szCs w:val="24"/>
        </w:rPr>
        <w:t xml:space="preserve">peatada </w:t>
      </w:r>
      <w:r w:rsidR="4243355A" w:rsidRPr="0E64E300">
        <w:rPr>
          <w:rFonts w:eastAsia="Times New Roman"/>
          <w:szCs w:val="24"/>
        </w:rPr>
        <w:t>üksnes</w:t>
      </w:r>
      <w:r w:rsidR="2B3B0FDD" w:rsidRPr="0E64E300">
        <w:rPr>
          <w:rFonts w:eastAsia="Times New Roman"/>
          <w:szCs w:val="24"/>
        </w:rPr>
        <w:t xml:space="preserve"> nii kitsas</w:t>
      </w:r>
      <w:r w:rsidR="4243355A" w:rsidRPr="0E64E300">
        <w:rPr>
          <w:rFonts w:eastAsia="Times New Roman"/>
          <w:szCs w:val="24"/>
        </w:rPr>
        <w:t xml:space="preserve"> </w:t>
      </w:r>
      <w:r w:rsidR="465307C8" w:rsidRPr="0E64E300">
        <w:rPr>
          <w:rFonts w:eastAsia="Times New Roman"/>
          <w:szCs w:val="24"/>
        </w:rPr>
        <w:t>osas</w:t>
      </w:r>
      <w:r w:rsidRPr="0E64E300">
        <w:rPr>
          <w:rFonts w:eastAsia="Times New Roman"/>
          <w:szCs w:val="24"/>
        </w:rPr>
        <w:t xml:space="preserve">, </w:t>
      </w:r>
      <w:r w:rsidR="3667A71C" w:rsidRPr="0E64E300">
        <w:rPr>
          <w:rFonts w:eastAsia="Times New Roman"/>
          <w:szCs w:val="24"/>
        </w:rPr>
        <w:t xml:space="preserve">mis on </w:t>
      </w:r>
      <w:r w:rsidRPr="0E64E300">
        <w:rPr>
          <w:rFonts w:eastAsia="Times New Roman"/>
          <w:szCs w:val="24"/>
        </w:rPr>
        <w:t xml:space="preserve">peatamise alust arvestades </w:t>
      </w:r>
      <w:r w:rsidR="496286BF" w:rsidRPr="0E64E300">
        <w:rPr>
          <w:rFonts w:eastAsia="Times New Roman"/>
          <w:szCs w:val="24"/>
        </w:rPr>
        <w:t>vajalik</w:t>
      </w:r>
      <w:r w:rsidRPr="0E64E300">
        <w:rPr>
          <w:rFonts w:eastAsia="Times New Roman"/>
          <w:szCs w:val="24"/>
        </w:rPr>
        <w:t>.</w:t>
      </w:r>
    </w:p>
    <w:p w14:paraId="7A357A5B" w14:textId="2432A4D4" w:rsidR="007A1717" w:rsidRPr="007A1717" w:rsidRDefault="7ED13364" w:rsidP="0E64E300">
      <w:pPr>
        <w:spacing w:after="160"/>
        <w:jc w:val="both"/>
        <w:rPr>
          <w:rFonts w:eastAsia="Times New Roman"/>
          <w:b/>
          <w:bCs/>
          <w:szCs w:val="24"/>
        </w:rPr>
      </w:pPr>
      <w:r w:rsidRPr="0E64E300">
        <w:rPr>
          <w:rFonts w:eastAsia="Times New Roman"/>
          <w:b/>
          <w:bCs/>
          <w:szCs w:val="24"/>
        </w:rPr>
        <w:t xml:space="preserve">2. </w:t>
      </w:r>
      <w:r w:rsidRPr="0E64E300">
        <w:rPr>
          <w:rFonts w:eastAsia="Times New Roman"/>
          <w:szCs w:val="24"/>
        </w:rPr>
        <w:t>TMS-i on kavas täiendada normiga, mille kohaselt ei kehti täitemenetluse peatamise ajal võlgniku sissetulekule või muudele sarnastele nõudeõigustele ning kontodele samas menetluses koostatud arestimisaktiga seatud käsutuspiirangud.</w:t>
      </w:r>
    </w:p>
    <w:p w14:paraId="0B261CB6" w14:textId="61651C8E" w:rsidR="003840D3" w:rsidRDefault="2F022D02" w:rsidP="0E64E300">
      <w:pPr>
        <w:spacing w:after="160"/>
        <w:jc w:val="both"/>
        <w:rPr>
          <w:rFonts w:eastAsia="Times New Roman"/>
          <w:szCs w:val="24"/>
        </w:rPr>
      </w:pPr>
      <w:r w:rsidRPr="0E64E300">
        <w:rPr>
          <w:rFonts w:eastAsia="Times New Roman"/>
          <w:szCs w:val="24"/>
        </w:rPr>
        <w:t xml:space="preserve">Advokatuur </w:t>
      </w:r>
      <w:r w:rsidR="741E471F" w:rsidRPr="0E64E300">
        <w:rPr>
          <w:rFonts w:eastAsia="Times New Roman"/>
          <w:szCs w:val="24"/>
        </w:rPr>
        <w:t>eeltoodud muudatust ei toeta.</w:t>
      </w:r>
      <w:r w:rsidR="63A8E368" w:rsidRPr="0E64E300">
        <w:rPr>
          <w:rFonts w:eastAsia="Times New Roman"/>
          <w:szCs w:val="24"/>
        </w:rPr>
        <w:t xml:space="preserve"> Muudatuse kohaselt tahetakse peatamise ajaks anda võlgnikule mitte ainult vaba voli oma sissetulekute üle vaid ka kogu arvelduskonto üle. </w:t>
      </w:r>
      <w:r w:rsidR="03FB6507" w:rsidRPr="0E64E300">
        <w:rPr>
          <w:rFonts w:eastAsia="Times New Roman"/>
          <w:szCs w:val="24"/>
        </w:rPr>
        <w:t xml:space="preserve"> </w:t>
      </w:r>
      <w:r w:rsidRPr="0E64E300">
        <w:rPr>
          <w:rFonts w:eastAsia="Times New Roman"/>
          <w:szCs w:val="24"/>
        </w:rPr>
        <w:t xml:space="preserve">Sellisel juhul oleks võlgnikul täitemenetluse peatamise korral ükskõik kui lühikeseks ajaks ja ükskõik millisel alusel võimalik oma arvelduskontod täies ulatuses tühjendada. </w:t>
      </w:r>
    </w:p>
    <w:p w14:paraId="7617A7E1" w14:textId="10A95279" w:rsidR="00B35BE8" w:rsidRPr="00B35BE8" w:rsidRDefault="2F022D02" w:rsidP="0E64E300">
      <w:pPr>
        <w:spacing w:after="160"/>
        <w:jc w:val="both"/>
        <w:rPr>
          <w:rFonts w:eastAsia="Times New Roman"/>
          <w:kern w:val="2"/>
          <w:szCs w:val="24"/>
          <w14:ligatures w14:val="standardContextual"/>
        </w:rPr>
      </w:pPr>
      <w:r w:rsidRPr="0E64E300">
        <w:rPr>
          <w:rFonts w:eastAsia="Times New Roman"/>
          <w:szCs w:val="24"/>
        </w:rPr>
        <w:lastRenderedPageBreak/>
        <w:t>Sissetuleku aresti kehtetuks muutumise</w:t>
      </w:r>
      <w:r w:rsidR="4BE5A4BF" w:rsidRPr="0E64E300">
        <w:rPr>
          <w:rFonts w:eastAsia="Times New Roman"/>
          <w:szCs w:val="24"/>
        </w:rPr>
        <w:t xml:space="preserve"> puhul ei oleks</w:t>
      </w:r>
      <w:r w:rsidRPr="0E64E300">
        <w:rPr>
          <w:rFonts w:eastAsia="Times New Roman"/>
          <w:szCs w:val="24"/>
        </w:rPr>
        <w:t xml:space="preserve"> mõju </w:t>
      </w:r>
      <w:r w:rsidR="2FF2545C" w:rsidRPr="0E64E300">
        <w:rPr>
          <w:rFonts w:eastAsia="Times New Roman"/>
          <w:szCs w:val="24"/>
        </w:rPr>
        <w:t>nii</w:t>
      </w:r>
      <w:r w:rsidRPr="0E64E300">
        <w:rPr>
          <w:rFonts w:eastAsia="Times New Roman"/>
          <w:szCs w:val="24"/>
        </w:rPr>
        <w:t xml:space="preserve"> ulatuslik, kuid ka see ei peaks toimuma täitemenetluse peatumise korral automaatselt igal juhul. Kuna VTK-s on kavas liikuda peatamise ulatuse määramisel paindlikkuse ja kaalutlusel põhineva otsustuse suunas, võiks ka sissetuleku ning arvelduskontode aresti kehtivuse peatamine olla</w:t>
      </w:r>
      <w:r w:rsidR="3763F268" w:rsidRPr="0E64E300">
        <w:rPr>
          <w:rFonts w:eastAsia="Times New Roman"/>
          <w:szCs w:val="24"/>
        </w:rPr>
        <w:t xml:space="preserve"> need</w:t>
      </w:r>
      <w:r w:rsidRPr="0E64E300">
        <w:rPr>
          <w:rFonts w:eastAsia="Times New Roman"/>
          <w:szCs w:val="24"/>
        </w:rPr>
        <w:t xml:space="preserve"> </w:t>
      </w:r>
      <w:r w:rsidR="2D127C1E" w:rsidRPr="0E64E300">
        <w:rPr>
          <w:rFonts w:eastAsia="Times New Roman"/>
          <w:szCs w:val="24"/>
        </w:rPr>
        <w:t>küsimused</w:t>
      </w:r>
      <w:r w:rsidRPr="0E64E300">
        <w:rPr>
          <w:rFonts w:eastAsia="Times New Roman"/>
          <w:szCs w:val="24"/>
        </w:rPr>
        <w:t>, mille üle otsustatakse iga kord asjaoludest lähtudes koos täitemenetluse peatamise üle otsustamisega.</w:t>
      </w:r>
    </w:p>
    <w:p w14:paraId="29B2D4C5" w14:textId="14C0C6B2" w:rsidR="00B35BE8" w:rsidRDefault="2F022D02" w:rsidP="0E64E300">
      <w:pPr>
        <w:spacing w:after="160"/>
        <w:jc w:val="both"/>
        <w:rPr>
          <w:rFonts w:eastAsia="Times New Roman"/>
          <w:szCs w:val="24"/>
        </w:rPr>
      </w:pPr>
      <w:r w:rsidRPr="0E64E300">
        <w:rPr>
          <w:rFonts w:eastAsia="Times New Roman"/>
          <w:szCs w:val="24"/>
        </w:rPr>
        <w:t>Sissetuleku aresti puhul nähakse VTK-s vastuolu TMS § 47 lg 1</w:t>
      </w:r>
      <w:r w:rsidRPr="0E64E300">
        <w:rPr>
          <w:rFonts w:eastAsia="Times New Roman"/>
          <w:szCs w:val="24"/>
          <w:vertAlign w:val="superscript"/>
        </w:rPr>
        <w:t>2</w:t>
      </w:r>
      <w:r w:rsidRPr="0E64E300">
        <w:rPr>
          <w:rFonts w:eastAsia="Times New Roman"/>
          <w:szCs w:val="24"/>
        </w:rPr>
        <w:t xml:space="preserve"> kahe lause vahel: „</w:t>
      </w:r>
      <w:r w:rsidRPr="0E64E300">
        <w:rPr>
          <w:rFonts w:eastAsia="Times New Roman"/>
          <w:i/>
          <w:iCs/>
          <w:szCs w:val="24"/>
        </w:rPr>
        <w:t>Täitemenetluse peatamise ajaks peatub arestimisakti alusel nõude täitmine</w:t>
      </w:r>
      <w:r w:rsidRPr="0E64E300">
        <w:rPr>
          <w:rFonts w:eastAsia="Times New Roman"/>
          <w:szCs w:val="24"/>
        </w:rPr>
        <w:t>“ ja „</w:t>
      </w:r>
      <w:r w:rsidRPr="0E64E300">
        <w:rPr>
          <w:rFonts w:eastAsia="Times New Roman"/>
          <w:i/>
          <w:iCs/>
          <w:szCs w:val="24"/>
        </w:rPr>
        <w:t>Võlgniku varale seatud keelumärked jäävad püsima</w:t>
      </w:r>
      <w:r w:rsidRPr="0E64E300">
        <w:rPr>
          <w:rFonts w:eastAsia="Times New Roman"/>
          <w:szCs w:val="24"/>
        </w:rPr>
        <w:t xml:space="preserve">“. Advokatuuri hinnangul eelistatakse põhjendamatult esimest lauset ja leitakse, et sissetuleku arest ei saa peatamise ajal kehtima jääda, </w:t>
      </w:r>
      <w:r w:rsidR="39D9EE75" w:rsidRPr="0E64E300">
        <w:rPr>
          <w:rFonts w:eastAsia="Times New Roman"/>
          <w:szCs w:val="24"/>
        </w:rPr>
        <w:t xml:space="preserve">kuna </w:t>
      </w:r>
      <w:r w:rsidRPr="0E64E300">
        <w:rPr>
          <w:rFonts w:eastAsia="Times New Roman"/>
          <w:szCs w:val="24"/>
        </w:rPr>
        <w:t xml:space="preserve">see tähendaks sisuliselt nõude täitmist. Sissetuleku aresti puhul on täitemenetluse peatamise ajal võimalik hoiustada arestitav osa kohtutäituri deposiitkontol ja jätta see kuni peatumise lõpuni sissenõudjale välja maksmata. Arvelduskonto aresti puhul vastuolu ei ole: arvelduskontol olevate vahendite </w:t>
      </w:r>
      <w:r w:rsidR="4DCF8C1A" w:rsidRPr="0E64E300">
        <w:rPr>
          <w:rFonts w:eastAsia="Times New Roman"/>
          <w:szCs w:val="24"/>
        </w:rPr>
        <w:t>osas</w:t>
      </w:r>
      <w:r w:rsidRPr="0E64E300">
        <w:rPr>
          <w:rFonts w:eastAsia="Times New Roman"/>
          <w:szCs w:val="24"/>
        </w:rPr>
        <w:t xml:space="preserve"> saab võlgniku suhtes kehtida käsutuskeeld, ilma et </w:t>
      </w:r>
      <w:r w:rsidR="366C78D8" w:rsidRPr="0E64E300">
        <w:rPr>
          <w:rFonts w:eastAsia="Times New Roman"/>
          <w:szCs w:val="24"/>
        </w:rPr>
        <w:t xml:space="preserve">neid </w:t>
      </w:r>
      <w:r w:rsidRPr="0E64E300">
        <w:rPr>
          <w:rFonts w:eastAsia="Times New Roman"/>
          <w:szCs w:val="24"/>
        </w:rPr>
        <w:t>vahendeid peaks kohtutäituri kontole üle kandma.</w:t>
      </w:r>
    </w:p>
    <w:p w14:paraId="48A28364" w14:textId="63C54519" w:rsidR="00234807" w:rsidRPr="00234807" w:rsidRDefault="474B233E" w:rsidP="0E64E300">
      <w:pPr>
        <w:spacing w:after="160"/>
        <w:jc w:val="both"/>
        <w:rPr>
          <w:rFonts w:eastAsia="Times New Roman"/>
          <w:b/>
          <w:bCs/>
          <w:kern w:val="2"/>
          <w:szCs w:val="24"/>
          <w14:ligatures w14:val="standardContextual"/>
        </w:rPr>
      </w:pPr>
      <w:r w:rsidRPr="0E64E300">
        <w:rPr>
          <w:rFonts w:eastAsia="Times New Roman"/>
          <w:b/>
          <w:bCs/>
          <w:szCs w:val="24"/>
        </w:rPr>
        <w:t xml:space="preserve">3. </w:t>
      </w:r>
      <w:r w:rsidRPr="0E64E300">
        <w:rPr>
          <w:rFonts w:eastAsia="Times New Roman"/>
          <w:szCs w:val="24"/>
        </w:rPr>
        <w:t>TMS-i on kavas täiendada regulatsiooniga, mis sätestaks, et kui peatub täitemenetlus, milles edastatud sissetuleku arestimise akt on esimesel järjekohal ning kolmas isik seda täidab, asub kolmas isik kuni täitemenetluse peatumise aluseks olevate asjaolude äralangemiseni täitma järgmisi järjekorras olevaid arestimisakte.</w:t>
      </w:r>
    </w:p>
    <w:p w14:paraId="00D17604" w14:textId="1FB48196" w:rsidR="00B35BE8" w:rsidRDefault="568DAAF1" w:rsidP="0E64E300">
      <w:pPr>
        <w:spacing w:after="160"/>
        <w:jc w:val="both"/>
        <w:rPr>
          <w:rFonts w:eastAsia="Times New Roman"/>
          <w:szCs w:val="24"/>
        </w:rPr>
      </w:pPr>
      <w:r w:rsidRPr="0E64E300">
        <w:rPr>
          <w:rFonts w:eastAsia="Times New Roman"/>
          <w:szCs w:val="24"/>
        </w:rPr>
        <w:t xml:space="preserve">Advokatuur toetab põhimõtteliselt VTK-s kavandatud lähenemist, et kui </w:t>
      </w:r>
      <w:r w:rsidR="2F022D02" w:rsidRPr="0E64E300">
        <w:rPr>
          <w:rFonts w:eastAsia="Times New Roman"/>
          <w:szCs w:val="24"/>
        </w:rPr>
        <w:t>varasema järjekoha täitemenetlus on peatatud selliselt, et sissetuleku käsutamise õigus läheks võlgnikule tagasi, tuleb enne sissetuleku võlgnikule kättesaadavaks tegemist täita järgmiste järjekohtade täitemenetlused. Kuna</w:t>
      </w:r>
      <w:r w:rsidR="2995A003" w:rsidRPr="0E64E300">
        <w:rPr>
          <w:rFonts w:eastAsia="Times New Roman"/>
          <w:szCs w:val="24"/>
        </w:rPr>
        <w:t xml:space="preserve"> aga </w:t>
      </w:r>
      <w:r w:rsidR="2F022D02" w:rsidRPr="0E64E300">
        <w:rPr>
          <w:rFonts w:eastAsia="Times New Roman"/>
          <w:szCs w:val="24"/>
        </w:rPr>
        <w:t>täitemenetluse peatamine ei tohiks automaatselt tuua kaasa sissetuleku liikumist võlgniku käsutusse, ei tohiks see automaatselt kaasa tuua ka sissetuleku liikumist järgmise järjekoha täitemenetluse katteks. S</w:t>
      </w:r>
      <w:r w:rsidR="4E038BA4" w:rsidRPr="0E64E300">
        <w:rPr>
          <w:rFonts w:eastAsia="Times New Roman"/>
          <w:szCs w:val="24"/>
        </w:rPr>
        <w:t>eega tuleks s</w:t>
      </w:r>
      <w:r w:rsidR="2F022D02" w:rsidRPr="0E64E300">
        <w:rPr>
          <w:rFonts w:eastAsia="Times New Roman"/>
          <w:szCs w:val="24"/>
        </w:rPr>
        <w:t>eda, kas sissetulek tuleks kohtutäituri poolt esimese sissenõudja kasuks deponeerida või mitte, otsustada peatamise otsuses.</w:t>
      </w:r>
    </w:p>
    <w:p w14:paraId="50228EE9" w14:textId="40BB5AF3" w:rsidR="009A6FFE" w:rsidRDefault="029E0926" w:rsidP="0E64E300">
      <w:pPr>
        <w:spacing w:after="160"/>
        <w:jc w:val="both"/>
        <w:rPr>
          <w:rFonts w:eastAsia="Times New Roman"/>
          <w:szCs w:val="24"/>
        </w:rPr>
      </w:pPr>
      <w:r w:rsidRPr="0E64E300">
        <w:rPr>
          <w:rFonts w:eastAsia="Times New Roman"/>
          <w:b/>
          <w:bCs/>
          <w:szCs w:val="24"/>
        </w:rPr>
        <w:t>4.</w:t>
      </w:r>
      <w:r w:rsidR="5CC085A3" w:rsidRPr="0E64E300">
        <w:rPr>
          <w:rFonts w:eastAsia="Times New Roman"/>
          <w:b/>
          <w:bCs/>
          <w:szCs w:val="24"/>
        </w:rPr>
        <w:t xml:space="preserve"> </w:t>
      </w:r>
      <w:r w:rsidR="2953DA93" w:rsidRPr="0E64E300">
        <w:rPr>
          <w:rFonts w:eastAsia="Times New Roman"/>
          <w:szCs w:val="24"/>
        </w:rPr>
        <w:t xml:space="preserve">VTK kohaselt on kavas </w:t>
      </w:r>
      <w:r w:rsidR="5CC085A3" w:rsidRPr="0E64E300">
        <w:rPr>
          <w:rFonts w:eastAsia="Times New Roman"/>
          <w:szCs w:val="24"/>
        </w:rPr>
        <w:t xml:space="preserve">täiendada FIMS-i regulatsiooni normidega, mis reguleeriksid selgemalt FIMS § 16 lg 3 alusel seni menetluses olnud täiteasjade peatamise mõju võlgniku sissetulekute ja kontode käsutamisele. </w:t>
      </w:r>
    </w:p>
    <w:p w14:paraId="6241C5DF" w14:textId="77777777" w:rsidR="00882E48" w:rsidRDefault="5CC085A3" w:rsidP="0E64E300">
      <w:pPr>
        <w:spacing w:after="160"/>
        <w:jc w:val="both"/>
        <w:rPr>
          <w:rFonts w:eastAsia="Times New Roman"/>
          <w:szCs w:val="24"/>
        </w:rPr>
      </w:pPr>
      <w:r w:rsidRPr="0E64E300">
        <w:rPr>
          <w:rFonts w:eastAsia="Times New Roman"/>
          <w:szCs w:val="24"/>
        </w:rPr>
        <w:t xml:space="preserve">Kokkuvõtvalt sätestaks regulatsioon järgmist: </w:t>
      </w:r>
    </w:p>
    <w:p w14:paraId="4EF69BBC" w14:textId="77777777" w:rsidR="002D1006" w:rsidRDefault="317E2C0C" w:rsidP="0E64E300">
      <w:pPr>
        <w:spacing w:after="160"/>
        <w:jc w:val="both"/>
        <w:rPr>
          <w:rFonts w:eastAsia="Times New Roman"/>
          <w:szCs w:val="24"/>
        </w:rPr>
      </w:pPr>
      <w:r w:rsidRPr="0E64E300">
        <w:rPr>
          <w:rFonts w:eastAsia="Times New Roman"/>
          <w:szCs w:val="24"/>
        </w:rPr>
        <w:t xml:space="preserve">· </w:t>
      </w:r>
      <w:r w:rsidR="5CC085A3" w:rsidRPr="0E64E300">
        <w:rPr>
          <w:rFonts w:eastAsia="Times New Roman"/>
          <w:szCs w:val="24"/>
        </w:rPr>
        <w:t xml:space="preserve">FIMS § 16 lg 3 alusel peatamise mõju on absoluutne: peatatud täitemenetluste arestid jäävad kehtima, kuid nendes seatud piirangud ja vabastused ei kehti MJA menetlemise ajal; </w:t>
      </w:r>
    </w:p>
    <w:p w14:paraId="38EBBDCD" w14:textId="7302D6C8" w:rsidR="003E72AF" w:rsidRDefault="5CC085A3" w:rsidP="0E64E300">
      <w:pPr>
        <w:spacing w:after="160"/>
        <w:jc w:val="both"/>
        <w:rPr>
          <w:rFonts w:eastAsia="Times New Roman"/>
          <w:szCs w:val="24"/>
        </w:rPr>
      </w:pPr>
      <w:r w:rsidRPr="0E64E300">
        <w:rPr>
          <w:rFonts w:eastAsia="Times New Roman"/>
          <w:szCs w:val="24"/>
        </w:rPr>
        <w:t xml:space="preserve">· kui kohus ei määra võlgniku varale PankrS § 20 lg 1 järgset käsutuskeeldu, on võlgnik MJA menetluse ajal vaba käsutama oma sissetulekuid ja kontot enda äranägemise järgi; </w:t>
      </w:r>
    </w:p>
    <w:p w14:paraId="59C3DFEB" w14:textId="77777777" w:rsidR="00CB510F" w:rsidRDefault="5CC085A3" w:rsidP="0E64E300">
      <w:pPr>
        <w:spacing w:after="160"/>
        <w:jc w:val="both"/>
        <w:rPr>
          <w:rFonts w:eastAsia="Times New Roman"/>
          <w:szCs w:val="24"/>
        </w:rPr>
      </w:pPr>
      <w:r w:rsidRPr="0E64E300">
        <w:rPr>
          <w:rFonts w:eastAsia="Times New Roman"/>
          <w:szCs w:val="24"/>
        </w:rPr>
        <w:t xml:space="preserve">· </w:t>
      </w:r>
      <w:r w:rsidR="30CA5330" w:rsidRPr="0E64E300">
        <w:rPr>
          <w:rFonts w:eastAsia="Times New Roman"/>
          <w:szCs w:val="24"/>
        </w:rPr>
        <w:t>k</w:t>
      </w:r>
      <w:r w:rsidRPr="0E64E300">
        <w:rPr>
          <w:rFonts w:eastAsia="Times New Roman"/>
          <w:szCs w:val="24"/>
        </w:rPr>
        <w:t xml:space="preserve">ui kohus määrab võlgniku varale PankrS § 20 lg 1 järgse käsutuskeelu, kehtivad MJA menetluse ajal võlgniku sissetuleku ja muude sarnaste nõudeõiguste suhtes kohtu määratud piirangud ja vabastused. </w:t>
      </w:r>
    </w:p>
    <w:p w14:paraId="17EB115B" w14:textId="77777777" w:rsidR="00CB510F" w:rsidRDefault="5CC085A3" w:rsidP="0E64E300">
      <w:pPr>
        <w:spacing w:after="160"/>
        <w:jc w:val="both"/>
        <w:rPr>
          <w:rFonts w:eastAsia="Times New Roman"/>
          <w:szCs w:val="24"/>
        </w:rPr>
      </w:pPr>
      <w:r w:rsidRPr="0E64E300">
        <w:rPr>
          <w:rFonts w:eastAsia="Times New Roman"/>
          <w:szCs w:val="24"/>
        </w:rPr>
        <w:t xml:space="preserve">Kuna ka MJA lahendamisele järgnevate VÜK/KVM menetluste ajal jäävad peatatud täitemenetlustes tehtud toimingud, sealhulgas sissetulekute ja konto arest, jõusse, kuid ei realiseeru, täpsustatakse õigusselguse huvides, et ka nende menetluste vältel ei kehti peatatud täitemenetlustes seatud arestide piirangud ja vabastused. Võlgniku sissetulekute ja konto käsutamine toimub FIMS-i menetlustes seatud korra järgi. </w:t>
      </w:r>
    </w:p>
    <w:p w14:paraId="023491EB" w14:textId="1D412760" w:rsidR="00443AEE" w:rsidRPr="00F864C9" w:rsidRDefault="3CF1896B" w:rsidP="0E64E300">
      <w:pPr>
        <w:spacing w:after="160"/>
        <w:jc w:val="both"/>
        <w:rPr>
          <w:rFonts w:eastAsia="Times New Roman"/>
          <w:kern w:val="2"/>
          <w:szCs w:val="24"/>
          <w14:ligatures w14:val="standardContextual"/>
        </w:rPr>
      </w:pPr>
      <w:r w:rsidRPr="0E64E300">
        <w:rPr>
          <w:rFonts w:eastAsia="Times New Roman"/>
          <w:szCs w:val="24"/>
        </w:rPr>
        <w:t>Pärast</w:t>
      </w:r>
      <w:r w:rsidR="5CC085A3" w:rsidRPr="0E64E300">
        <w:rPr>
          <w:rFonts w:eastAsia="Times New Roman"/>
          <w:szCs w:val="24"/>
        </w:rPr>
        <w:t xml:space="preserve"> MJA edukat menetlemist: a) </w:t>
      </w:r>
      <w:r w:rsidR="244006E9" w:rsidRPr="0E64E300">
        <w:rPr>
          <w:rFonts w:eastAsia="Times New Roman"/>
          <w:szCs w:val="24"/>
        </w:rPr>
        <w:t xml:space="preserve">taastub </w:t>
      </w:r>
      <w:r w:rsidR="5CC085A3" w:rsidRPr="0E64E300">
        <w:rPr>
          <w:rFonts w:eastAsia="Times New Roman"/>
          <w:szCs w:val="24"/>
        </w:rPr>
        <w:t>täies ulatuses võlgniku õigus käsutada enda sissetulekuid ja kontosid (VÜK menetluses) või b) võlgnik käsutab enda sissetulekuid vastavalt kohtu korraldusele (KVM-s).</w:t>
      </w:r>
    </w:p>
    <w:p w14:paraId="7DFC5C61" w14:textId="74333618" w:rsidR="007B6D40" w:rsidRPr="00B35BE8" w:rsidRDefault="5DAC2D79" w:rsidP="0E64E300">
      <w:pPr>
        <w:spacing w:after="160"/>
        <w:jc w:val="both"/>
        <w:rPr>
          <w:rFonts w:eastAsia="Times New Roman"/>
          <w:szCs w:val="24"/>
        </w:rPr>
      </w:pPr>
      <w:r w:rsidRPr="0E64E300">
        <w:rPr>
          <w:rFonts w:eastAsia="Times New Roman"/>
          <w:szCs w:val="24"/>
        </w:rPr>
        <w:lastRenderedPageBreak/>
        <w:t xml:space="preserve">Kuna </w:t>
      </w:r>
      <w:r w:rsidR="5ABAD693" w:rsidRPr="0E64E300">
        <w:rPr>
          <w:rFonts w:eastAsia="Times New Roman"/>
          <w:szCs w:val="24"/>
        </w:rPr>
        <w:t xml:space="preserve">probleem </w:t>
      </w:r>
      <w:r w:rsidRPr="0E64E300">
        <w:rPr>
          <w:rFonts w:eastAsia="Times New Roman"/>
          <w:szCs w:val="24"/>
        </w:rPr>
        <w:t xml:space="preserve">seisneb VTK kohaselt </w:t>
      </w:r>
      <w:r w:rsidR="5ABAD693" w:rsidRPr="0E64E300">
        <w:rPr>
          <w:rFonts w:eastAsia="Times New Roman"/>
          <w:szCs w:val="24"/>
        </w:rPr>
        <w:t xml:space="preserve">selles, et </w:t>
      </w:r>
      <w:r w:rsidRPr="0E64E300">
        <w:rPr>
          <w:rFonts w:eastAsia="Times New Roman"/>
          <w:szCs w:val="24"/>
        </w:rPr>
        <w:t>täitemenetluse raames ja maksejõuetusmenetluse raames</w:t>
      </w:r>
      <w:r w:rsidR="5ABAD693" w:rsidRPr="0E64E300">
        <w:rPr>
          <w:rFonts w:eastAsia="Times New Roman"/>
          <w:szCs w:val="24"/>
        </w:rPr>
        <w:t xml:space="preserve"> seatud piirangud </w:t>
      </w:r>
      <w:r w:rsidR="22DF1D6A" w:rsidRPr="0E64E300">
        <w:rPr>
          <w:rFonts w:eastAsia="Times New Roman"/>
          <w:szCs w:val="24"/>
        </w:rPr>
        <w:t xml:space="preserve">ning </w:t>
      </w:r>
      <w:r w:rsidR="5ABAD693" w:rsidRPr="0E64E300">
        <w:rPr>
          <w:rFonts w:eastAsia="Times New Roman"/>
          <w:szCs w:val="24"/>
        </w:rPr>
        <w:t>vabastused sissetuleku ja arvelduskonto käsutamisele võivad hakata üksteisega konkureerima</w:t>
      </w:r>
      <w:r w:rsidRPr="0E64E300">
        <w:rPr>
          <w:rFonts w:eastAsia="Times New Roman"/>
          <w:szCs w:val="24"/>
        </w:rPr>
        <w:t xml:space="preserve">, on </w:t>
      </w:r>
      <w:r w:rsidR="5ABAD693" w:rsidRPr="0E64E300">
        <w:rPr>
          <w:rFonts w:eastAsia="Times New Roman"/>
          <w:szCs w:val="24"/>
        </w:rPr>
        <w:t>ettepanek</w:t>
      </w:r>
      <w:r w:rsidRPr="0E64E300">
        <w:rPr>
          <w:rFonts w:eastAsia="Times New Roman"/>
          <w:szCs w:val="24"/>
        </w:rPr>
        <w:t xml:space="preserve"> põhimõtteliselt mõistlik: täitemenetluse</w:t>
      </w:r>
      <w:r w:rsidR="5ABAD693" w:rsidRPr="0E64E300">
        <w:rPr>
          <w:rFonts w:eastAsia="Times New Roman"/>
          <w:szCs w:val="24"/>
        </w:rPr>
        <w:t xml:space="preserve"> piirangud lõpevad ning maksejõuetusmenetlust lahendav kohus otsustab maksejõuetusmenetluse vältel kehtivate piirangute ja vabastuste üle</w:t>
      </w:r>
      <w:r w:rsidRPr="0E64E300">
        <w:rPr>
          <w:rFonts w:eastAsia="Times New Roman"/>
          <w:szCs w:val="24"/>
        </w:rPr>
        <w:t>.</w:t>
      </w:r>
      <w:r w:rsidR="5ABAD693" w:rsidRPr="0E64E300">
        <w:rPr>
          <w:rFonts w:eastAsia="Times New Roman"/>
          <w:szCs w:val="24"/>
        </w:rPr>
        <w:t xml:space="preserve"> Samas peaksid sissetuleku ja arvelduskontode käsutamise piirangud lõppema üksnes kohtu teadliku vastavasisulise otsustuse alusel, mitte automaatselt usaldusisiku määramisel.</w:t>
      </w:r>
    </w:p>
    <w:p w14:paraId="4989BECA" w14:textId="0585807B" w:rsidR="007B6D40" w:rsidRPr="00B35BE8" w:rsidRDefault="18388B6F" w:rsidP="0E64E300">
      <w:pPr>
        <w:spacing w:after="160"/>
        <w:jc w:val="both"/>
        <w:rPr>
          <w:rFonts w:eastAsia="Times New Roman"/>
          <w:kern w:val="2"/>
          <w:szCs w:val="24"/>
          <w14:ligatures w14:val="standardContextual"/>
        </w:rPr>
      </w:pPr>
      <w:r w:rsidRPr="0E64E300">
        <w:rPr>
          <w:rFonts w:eastAsia="Times New Roman"/>
          <w:szCs w:val="24"/>
        </w:rPr>
        <w:t xml:space="preserve">Kavandatava lahenduse </w:t>
      </w:r>
      <w:r w:rsidR="5ABAD693" w:rsidRPr="0E64E300">
        <w:rPr>
          <w:rFonts w:eastAsia="Times New Roman"/>
          <w:szCs w:val="24"/>
        </w:rPr>
        <w:t xml:space="preserve">kohaselt lõppeksid täitemenetlusest tulenevad sissetuleku ja arvelduskonto käsutamise piirangud automaatselt usaldusisiku määramisega, kuid seadusest ei tulene kohtule selget kohustust kaaluda igal juhul pankrotimenetluse tagamise meetmeid, </w:t>
      </w:r>
      <w:r w:rsidR="61838328" w:rsidRPr="0E64E300">
        <w:rPr>
          <w:rFonts w:eastAsia="Times New Roman"/>
          <w:szCs w:val="24"/>
        </w:rPr>
        <w:t>nagu</w:t>
      </w:r>
      <w:r w:rsidR="5ABAD693" w:rsidRPr="0E64E300">
        <w:rPr>
          <w:rFonts w:eastAsia="Times New Roman"/>
          <w:szCs w:val="24"/>
        </w:rPr>
        <w:t xml:space="preserve"> käsutuskeelu </w:t>
      </w:r>
      <w:r w:rsidR="61838328" w:rsidRPr="0E64E300">
        <w:rPr>
          <w:rFonts w:eastAsia="Times New Roman"/>
          <w:szCs w:val="24"/>
        </w:rPr>
        <w:t>seadmine</w:t>
      </w:r>
      <w:r w:rsidR="5ABAD693" w:rsidRPr="0E64E300">
        <w:rPr>
          <w:rFonts w:eastAsia="Times New Roman"/>
          <w:szCs w:val="24"/>
        </w:rPr>
        <w:t xml:space="preserve"> sissetulekule ja arvelduskontodele. </w:t>
      </w:r>
      <w:r w:rsidR="61838328" w:rsidRPr="0E64E300">
        <w:rPr>
          <w:rFonts w:eastAsia="Times New Roman"/>
          <w:szCs w:val="24"/>
        </w:rPr>
        <w:t>Advokatuuri hinnangul võiks VTK ideed</w:t>
      </w:r>
      <w:r w:rsidR="5ABAD693" w:rsidRPr="0E64E300">
        <w:rPr>
          <w:rFonts w:eastAsia="Times New Roman"/>
          <w:szCs w:val="24"/>
        </w:rPr>
        <w:t xml:space="preserve"> täiendada selliselt, et usaldusisiku määramisel peatab kohus käimasolevad täitemenetlused ning otsustab täitemenetlustes seatud arestide piirangute ja vabastuste kehtivuse üle maksejõuetusmenetluse vältel. Sel juhul peaks kohus </w:t>
      </w:r>
      <w:r w:rsidR="61838328" w:rsidRPr="0E64E300">
        <w:rPr>
          <w:rFonts w:eastAsia="Times New Roman"/>
          <w:szCs w:val="24"/>
        </w:rPr>
        <w:t>tegema teadliku otsustuse selle üle</w:t>
      </w:r>
      <w:r w:rsidR="5ABAD693" w:rsidRPr="0E64E300">
        <w:rPr>
          <w:rFonts w:eastAsia="Times New Roman"/>
          <w:szCs w:val="24"/>
        </w:rPr>
        <w:t xml:space="preserve">, kas konkreetses olukorras kaalub võlgniku vajadus pääseda ligi oma ressurssidele </w:t>
      </w:r>
      <w:r w:rsidR="71EE9823" w:rsidRPr="0E64E300">
        <w:rPr>
          <w:rFonts w:eastAsia="Times New Roman"/>
          <w:szCs w:val="24"/>
        </w:rPr>
        <w:t>(</w:t>
      </w:r>
      <w:r w:rsidR="5ABAD693" w:rsidRPr="0E64E300">
        <w:rPr>
          <w:rFonts w:eastAsia="Times New Roman"/>
          <w:szCs w:val="24"/>
        </w:rPr>
        <w:t>maksejõuetusmenetluse rahastamiseks</w:t>
      </w:r>
      <w:r w:rsidR="71EE9823" w:rsidRPr="0E64E300">
        <w:rPr>
          <w:rFonts w:eastAsia="Times New Roman"/>
          <w:szCs w:val="24"/>
        </w:rPr>
        <w:t>)</w:t>
      </w:r>
      <w:r w:rsidR="5ABAD693" w:rsidRPr="0E64E300">
        <w:rPr>
          <w:rFonts w:eastAsia="Times New Roman"/>
          <w:szCs w:val="24"/>
        </w:rPr>
        <w:t xml:space="preserve"> üles sissenõudjate õigused. </w:t>
      </w:r>
      <w:r w:rsidR="61838328" w:rsidRPr="0E64E300">
        <w:rPr>
          <w:rFonts w:eastAsia="Times New Roman"/>
          <w:szCs w:val="24"/>
        </w:rPr>
        <w:t>Samas</w:t>
      </w:r>
      <w:r w:rsidR="5ABAD693" w:rsidRPr="0E64E300">
        <w:rPr>
          <w:rFonts w:eastAsia="Times New Roman"/>
          <w:szCs w:val="24"/>
        </w:rPr>
        <w:t xml:space="preserve"> välditakse olukorda, kus võlgnik võib automaatsete tagajärgede tõttu saada </w:t>
      </w:r>
      <w:r w:rsidR="61838328" w:rsidRPr="0E64E300">
        <w:rPr>
          <w:rFonts w:eastAsia="Times New Roman"/>
          <w:szCs w:val="24"/>
        </w:rPr>
        <w:t xml:space="preserve">nö kogemata </w:t>
      </w:r>
      <w:r w:rsidR="5ABAD693" w:rsidRPr="0E64E300">
        <w:rPr>
          <w:rFonts w:eastAsia="Times New Roman"/>
          <w:szCs w:val="24"/>
        </w:rPr>
        <w:t>käsutusõiguse kõigi oma arvelduskontode üle.</w:t>
      </w:r>
    </w:p>
    <w:p w14:paraId="6C09D0EA" w14:textId="5EB51758" w:rsidR="00317EBE" w:rsidRPr="00C27BC2" w:rsidRDefault="3361B367" w:rsidP="0E64E300">
      <w:pPr>
        <w:spacing w:after="160"/>
        <w:jc w:val="both"/>
        <w:rPr>
          <w:rFonts w:eastAsia="Times New Roman"/>
          <w:b/>
          <w:bCs/>
          <w:szCs w:val="24"/>
        </w:rPr>
      </w:pPr>
      <w:r w:rsidRPr="0E64E300">
        <w:rPr>
          <w:rFonts w:eastAsia="Times New Roman"/>
          <w:b/>
          <w:bCs/>
          <w:szCs w:val="24"/>
        </w:rPr>
        <w:t xml:space="preserve">5. </w:t>
      </w:r>
      <w:r w:rsidRPr="0E64E300">
        <w:rPr>
          <w:rFonts w:eastAsia="Times New Roman"/>
          <w:szCs w:val="24"/>
        </w:rPr>
        <w:t>TMS-i regulatsiooni on kavas täiendada normiga, mille kohaselt peatub täitmisele esitatud nõude sundtäitmise aegumine ajaks, kui täitemenetlus on peatatud TMS §-de 45 ja 46 alusel või kui kohus on TMS § 45 alusel täitmist pikendanud või ajatanud.</w:t>
      </w:r>
    </w:p>
    <w:p w14:paraId="07509376" w14:textId="2741790F" w:rsidR="00B35BE8" w:rsidRDefault="38ABC6AA" w:rsidP="0E64E300">
      <w:pPr>
        <w:spacing w:after="160"/>
        <w:jc w:val="both"/>
        <w:rPr>
          <w:rFonts w:eastAsia="Times New Roman"/>
          <w:szCs w:val="24"/>
        </w:rPr>
      </w:pPr>
      <w:r w:rsidRPr="0E64E300">
        <w:rPr>
          <w:rFonts w:eastAsia="Times New Roman"/>
          <w:szCs w:val="24"/>
        </w:rPr>
        <w:t xml:space="preserve">Advokatuur toetab nimetatud TMS-i täiendamist </w:t>
      </w:r>
      <w:r w:rsidR="401260BE" w:rsidRPr="0E64E300">
        <w:rPr>
          <w:rFonts w:eastAsia="Times New Roman"/>
          <w:szCs w:val="24"/>
        </w:rPr>
        <w:t xml:space="preserve">viidatud normiga ehk </w:t>
      </w:r>
      <w:r w:rsidR="3BF0B3FB" w:rsidRPr="0E64E300">
        <w:rPr>
          <w:rFonts w:eastAsia="Times New Roman"/>
          <w:szCs w:val="24"/>
        </w:rPr>
        <w:t xml:space="preserve">lahendust, mille järgi </w:t>
      </w:r>
      <w:r w:rsidRPr="0E64E300">
        <w:rPr>
          <w:rFonts w:eastAsia="Times New Roman"/>
          <w:szCs w:val="24"/>
        </w:rPr>
        <w:t>peatub täitmisele esitatud nõude sundtäitmise aegumine täitemenetluse peatamise (TMS §-d 45 ja 46) või kohtu määratud täitmise pikendamise või ajatamise (TMS § 45) ajaks.</w:t>
      </w:r>
    </w:p>
    <w:p w14:paraId="6A6737D9" w14:textId="77777777" w:rsidR="00A1647C" w:rsidRPr="00A1647C" w:rsidRDefault="71110365" w:rsidP="0E64E300">
      <w:pPr>
        <w:spacing w:after="160"/>
        <w:jc w:val="both"/>
        <w:rPr>
          <w:rFonts w:eastAsia="Times New Roman"/>
          <w:b/>
          <w:bCs/>
          <w:kern w:val="2"/>
          <w:szCs w:val="24"/>
          <w14:ligatures w14:val="standardContextual"/>
        </w:rPr>
      </w:pPr>
      <w:r w:rsidRPr="0E64E300">
        <w:rPr>
          <w:rFonts w:eastAsia="Times New Roman"/>
          <w:b/>
          <w:bCs/>
          <w:szCs w:val="24"/>
        </w:rPr>
        <w:t xml:space="preserve">6. </w:t>
      </w:r>
      <w:r w:rsidRPr="0E64E300">
        <w:rPr>
          <w:rFonts w:eastAsia="Times New Roman"/>
          <w:kern w:val="2"/>
          <w:szCs w:val="24"/>
          <w14:ligatures w14:val="standardContextual"/>
        </w:rPr>
        <w:t>TMS-i on kavas täiendada sättega, mille kohaselt peatub täitemenetlus alates võlgniku surmast kuni pärimismenetluse või pärandvara inventuuri lõpuni.</w:t>
      </w:r>
    </w:p>
    <w:p w14:paraId="57907BED" w14:textId="3BE7ED3C" w:rsidR="00B35BE8" w:rsidRPr="00B35BE8" w:rsidRDefault="440CCC31" w:rsidP="0E64E300">
      <w:pPr>
        <w:spacing w:after="160"/>
        <w:jc w:val="both"/>
        <w:rPr>
          <w:rFonts w:eastAsia="Times New Roman"/>
          <w:szCs w:val="24"/>
        </w:rPr>
      </w:pPr>
      <w:r w:rsidRPr="4EF066BA">
        <w:rPr>
          <w:rFonts w:eastAsia="Times New Roman"/>
          <w:szCs w:val="24"/>
        </w:rPr>
        <w:t xml:space="preserve">Advokatuur </w:t>
      </w:r>
      <w:r w:rsidR="08650D5A" w:rsidRPr="4EF066BA">
        <w:rPr>
          <w:rFonts w:eastAsia="Times New Roman"/>
          <w:szCs w:val="24"/>
        </w:rPr>
        <w:t xml:space="preserve">viidatud </w:t>
      </w:r>
      <w:r w:rsidRPr="4EF066BA">
        <w:rPr>
          <w:rFonts w:eastAsia="Times New Roman"/>
          <w:szCs w:val="24"/>
        </w:rPr>
        <w:t>täiendust</w:t>
      </w:r>
      <w:r w:rsidR="6F480716" w:rsidRPr="4EF066BA">
        <w:rPr>
          <w:rFonts w:eastAsia="Times New Roman"/>
          <w:szCs w:val="24"/>
        </w:rPr>
        <w:t xml:space="preserve"> ei toeta</w:t>
      </w:r>
      <w:r w:rsidR="3CE41208" w:rsidRPr="4EF066BA">
        <w:rPr>
          <w:rFonts w:eastAsia="Times New Roman"/>
          <w:szCs w:val="24"/>
        </w:rPr>
        <w:t xml:space="preserve"> ning</w:t>
      </w:r>
      <w:r w:rsidR="6F480716" w:rsidRPr="4EF066BA">
        <w:rPr>
          <w:rFonts w:eastAsia="Times New Roman"/>
          <w:szCs w:val="24"/>
        </w:rPr>
        <w:t xml:space="preserve"> </w:t>
      </w:r>
      <w:r w:rsidR="03CCC41F" w:rsidRPr="4EF066BA">
        <w:rPr>
          <w:rFonts w:eastAsia="Times New Roman"/>
          <w:szCs w:val="24"/>
        </w:rPr>
        <w:t>k</w:t>
      </w:r>
      <w:r w:rsidRPr="4EF066BA">
        <w:rPr>
          <w:rFonts w:eastAsia="Times New Roman"/>
          <w:szCs w:val="24"/>
        </w:rPr>
        <w:t>ui selline alus</w:t>
      </w:r>
      <w:r w:rsidR="48CD7D94" w:rsidRPr="4EF066BA">
        <w:rPr>
          <w:rFonts w:eastAsia="Times New Roman"/>
          <w:szCs w:val="24"/>
        </w:rPr>
        <w:t xml:space="preserve"> üldse</w:t>
      </w:r>
      <w:r w:rsidRPr="4EF066BA">
        <w:rPr>
          <w:rFonts w:eastAsia="Times New Roman"/>
          <w:szCs w:val="24"/>
        </w:rPr>
        <w:t xml:space="preserve"> kehtestada, peaks täitemenetlus peatuma üksnes inventuuri läbiviimise korral inventuuri lõpuni. Pärimismenetlus võib erinevatel põhjustel venida väga pikaks, kusjuures pärandaja võlausaldajal ei ole võimalik pärimismenetluse kulgu </w:t>
      </w:r>
      <w:r w:rsidR="4506F860" w:rsidRPr="4EF066BA">
        <w:rPr>
          <w:rFonts w:eastAsia="Times New Roman"/>
          <w:szCs w:val="24"/>
        </w:rPr>
        <w:t xml:space="preserve">kuidagi </w:t>
      </w:r>
      <w:r w:rsidRPr="4EF066BA">
        <w:rPr>
          <w:rFonts w:eastAsia="Times New Roman"/>
          <w:szCs w:val="24"/>
        </w:rPr>
        <w:t>mõjutada. Sissenõudja õiguste piiramine sellise automaatse ja absoluutse peatamisega ei ole proportsionaalne.</w:t>
      </w:r>
      <w:r w:rsidR="7F33DC32" w:rsidRPr="4EF066BA">
        <w:rPr>
          <w:rFonts w:eastAsia="Times New Roman"/>
          <w:szCs w:val="24"/>
        </w:rPr>
        <w:t xml:space="preserve"> Tõstatatud probleemi, et pärijad ei pruugi täitemenetluse toimumisest teadagi saada, peaks lahendama selle regulatsiooni täiendamise</w:t>
      </w:r>
      <w:r w:rsidR="3DCF8B35" w:rsidRPr="4EF066BA">
        <w:rPr>
          <w:rFonts w:eastAsia="Times New Roman"/>
          <w:szCs w:val="24"/>
        </w:rPr>
        <w:t>ga</w:t>
      </w:r>
      <w:r w:rsidR="7F33DC32" w:rsidRPr="4EF066BA">
        <w:rPr>
          <w:rFonts w:eastAsia="Times New Roman"/>
          <w:szCs w:val="24"/>
        </w:rPr>
        <w:t>, mis reguleerib võlgniku/koormatud vara omaniku täitetoimingust teavitamist.</w:t>
      </w:r>
    </w:p>
    <w:p w14:paraId="6631577E" w14:textId="2A703201" w:rsidR="00783174" w:rsidRPr="00783174" w:rsidRDefault="073F9180" w:rsidP="00783174">
      <w:pPr>
        <w:spacing w:after="160"/>
        <w:jc w:val="both"/>
      </w:pPr>
      <w:r w:rsidRPr="0E64E300">
        <w:rPr>
          <w:rFonts w:eastAsia="Times New Roman"/>
          <w:b/>
          <w:bCs/>
          <w:szCs w:val="24"/>
        </w:rPr>
        <w:t xml:space="preserve">7. </w:t>
      </w:r>
      <w:r w:rsidR="0F0A638D" w:rsidRPr="0E64E300">
        <w:rPr>
          <w:rFonts w:eastAsia="Times New Roman"/>
          <w:szCs w:val="24"/>
        </w:rPr>
        <w:t>Ettepanek täiendada TMS § 223 seoses sundtäitmise aegumistähtaja kulgemisega enampakkumise kehtetuks tunnistamise korral</w:t>
      </w:r>
    </w:p>
    <w:p w14:paraId="1E01AE61" w14:textId="4B6C9715" w:rsidR="006F0D13" w:rsidRPr="006F0D13" w:rsidRDefault="01D41ED1" w:rsidP="0E64E300">
      <w:pPr>
        <w:spacing w:after="160"/>
        <w:jc w:val="both"/>
        <w:rPr>
          <w:rFonts w:eastAsia="Times New Roman"/>
          <w:szCs w:val="24"/>
        </w:rPr>
      </w:pPr>
      <w:r w:rsidRPr="0E64E300">
        <w:rPr>
          <w:rFonts w:eastAsia="Times New Roman"/>
          <w:szCs w:val="24"/>
        </w:rPr>
        <w:t>Täiendavalt</w:t>
      </w:r>
      <w:r w:rsidR="0D0DBD2A" w:rsidRPr="0E64E300">
        <w:rPr>
          <w:rFonts w:eastAsia="Times New Roman"/>
          <w:szCs w:val="24"/>
        </w:rPr>
        <w:t xml:space="preserve"> </w:t>
      </w:r>
      <w:r w:rsidR="10A1908D" w:rsidRPr="0E64E300">
        <w:rPr>
          <w:rFonts w:eastAsia="Times New Roman"/>
          <w:szCs w:val="24"/>
        </w:rPr>
        <w:t>teeb advokatuur</w:t>
      </w:r>
      <w:r w:rsidR="0D0DBD2A" w:rsidRPr="0E64E300">
        <w:rPr>
          <w:rFonts w:eastAsia="Times New Roman"/>
          <w:szCs w:val="24"/>
        </w:rPr>
        <w:t xml:space="preserve"> ettepaneku </w:t>
      </w:r>
      <w:r w:rsidR="11B06194" w:rsidRPr="0E64E300">
        <w:rPr>
          <w:rFonts w:eastAsia="Times New Roman"/>
          <w:szCs w:val="24"/>
        </w:rPr>
        <w:t xml:space="preserve">kõrvaldada </w:t>
      </w:r>
      <w:r w:rsidR="0D0DBD2A" w:rsidRPr="0E64E300">
        <w:rPr>
          <w:rFonts w:eastAsia="Times New Roman"/>
          <w:szCs w:val="24"/>
        </w:rPr>
        <w:t xml:space="preserve">TMS §-s 223 sisalduv ebaselgus, mis tekkis </w:t>
      </w:r>
      <w:r w:rsidR="2EDFD84C" w:rsidRPr="0E64E300">
        <w:rPr>
          <w:rFonts w:eastAsia="Times New Roman"/>
          <w:szCs w:val="24"/>
        </w:rPr>
        <w:t xml:space="preserve">paragrahvi </w:t>
      </w:r>
      <w:r w:rsidR="0D0DBD2A" w:rsidRPr="0E64E300">
        <w:rPr>
          <w:rFonts w:eastAsia="Times New Roman"/>
          <w:szCs w:val="24"/>
        </w:rPr>
        <w:t>seoses nõude täitmise kümneaastase aegumistähtaja kehtestamisega. TMS § 223 juurde tuleks</w:t>
      </w:r>
      <w:r w:rsidR="32D21686" w:rsidRPr="0E64E300">
        <w:rPr>
          <w:rFonts w:eastAsia="Times New Roman"/>
          <w:szCs w:val="24"/>
        </w:rPr>
        <w:t xml:space="preserve"> nimelt</w:t>
      </w:r>
      <w:r w:rsidR="0D0DBD2A" w:rsidRPr="0E64E300">
        <w:rPr>
          <w:rFonts w:eastAsia="Times New Roman"/>
          <w:szCs w:val="24"/>
        </w:rPr>
        <w:t xml:space="preserve"> lisada selgitav norm, mille kohaselt hakkavad § 223 lõike 2 rakendumisel selles lõikes viidatud </w:t>
      </w:r>
      <w:r w:rsidR="0F43C838" w:rsidRPr="0E64E300">
        <w:rPr>
          <w:rFonts w:eastAsia="Times New Roman"/>
          <w:szCs w:val="24"/>
        </w:rPr>
        <w:t xml:space="preserve">nõuete </w:t>
      </w:r>
      <w:r w:rsidR="0D0DBD2A" w:rsidRPr="0E64E300">
        <w:rPr>
          <w:rFonts w:eastAsia="Times New Roman"/>
          <w:szCs w:val="24"/>
        </w:rPr>
        <w:t>aegumistähtaeg ja nõude täitmise aegumistähtaeg kulgema uuesti enampakkumise kehtetuks tunnistamisest. Näiteks võiks sellekohase regulatsiooni sätestada § 223 lõikes 3.</w:t>
      </w:r>
    </w:p>
    <w:p w14:paraId="1125B405" w14:textId="089B374B" w:rsidR="007B6D40" w:rsidRPr="006F0D13" w:rsidRDefault="5ABAD693" w:rsidP="0E64E300">
      <w:pPr>
        <w:spacing w:after="160"/>
        <w:jc w:val="both"/>
        <w:rPr>
          <w:rFonts w:eastAsia="Times New Roman"/>
          <w:kern w:val="2"/>
          <w:szCs w:val="24"/>
          <w14:ligatures w14:val="standardContextual"/>
        </w:rPr>
      </w:pPr>
      <w:r w:rsidRPr="0E64E300">
        <w:rPr>
          <w:rFonts w:eastAsia="Times New Roman"/>
          <w:szCs w:val="24"/>
        </w:rPr>
        <w:t xml:space="preserve">Vastasel korral võib tekkida olukord, kus enampakkumise kehtetuks tunnistamisel saab võlgnik tagasi võla katteks müüdud vara, ostja saab sissenõudjalt tagasi nõuda ostuhinna (mis on olemuselt alusetu rikastumise nõuded ja tekivad enampakkumise kehtetuks tunnistamisest TMS § 223 lõike 2 alusel) ning sissenõudja, kellel on õigus nõuda täitemenetluse jätkamist ja oma nõude uuesti rahuldamist, võib </w:t>
      </w:r>
      <w:r w:rsidR="16BD3AF8" w:rsidRPr="0E64E300">
        <w:rPr>
          <w:rFonts w:eastAsia="Times New Roman"/>
          <w:szCs w:val="24"/>
        </w:rPr>
        <w:t xml:space="preserve">sellest siiski ilma </w:t>
      </w:r>
      <w:r w:rsidRPr="0E64E300">
        <w:rPr>
          <w:rFonts w:eastAsia="Times New Roman"/>
          <w:szCs w:val="24"/>
        </w:rPr>
        <w:t>jääda</w:t>
      </w:r>
      <w:r w:rsidR="16BD3AF8" w:rsidRPr="0E64E300">
        <w:rPr>
          <w:rFonts w:eastAsia="Times New Roman"/>
          <w:szCs w:val="24"/>
        </w:rPr>
        <w:t>.</w:t>
      </w:r>
      <w:r w:rsidRPr="0E64E300">
        <w:rPr>
          <w:rFonts w:eastAsia="Times New Roman"/>
          <w:szCs w:val="24"/>
        </w:rPr>
        <w:t xml:space="preserve"> Kui pärast pikki vaidlusi on </w:t>
      </w:r>
      <w:r w:rsidRPr="0E64E300">
        <w:rPr>
          <w:rFonts w:eastAsia="Times New Roman"/>
          <w:szCs w:val="24"/>
        </w:rPr>
        <w:lastRenderedPageBreak/>
        <w:t>täitemenetluse esialgsest algusest möödunud kümme aastat, saab võlgnik täitemenetluse jätkamisel nõuda täitemenetluse lõpetamist nõude täitmise aegumise tõttu ning rikastub sisuliselt sissenõudja arvel</w:t>
      </w:r>
      <w:r w:rsidR="3E1D4A41" w:rsidRPr="0E64E300">
        <w:rPr>
          <w:rFonts w:eastAsia="Times New Roman"/>
          <w:szCs w:val="24"/>
        </w:rPr>
        <w:t>t</w:t>
      </w:r>
      <w:r w:rsidRPr="0E64E300">
        <w:rPr>
          <w:rFonts w:eastAsia="Times New Roman"/>
          <w:szCs w:val="24"/>
        </w:rPr>
        <w:t>.</w:t>
      </w:r>
    </w:p>
    <w:p w14:paraId="460D3E14" w14:textId="5F3E83F6" w:rsidR="007B6D40" w:rsidRDefault="2FA6F4AB" w:rsidP="0E64E300">
      <w:pPr>
        <w:spacing w:after="160"/>
        <w:jc w:val="both"/>
        <w:rPr>
          <w:rFonts w:eastAsia="Times New Roman"/>
          <w:szCs w:val="24"/>
        </w:rPr>
      </w:pPr>
      <w:r w:rsidRPr="0F6B1980">
        <w:rPr>
          <w:rFonts w:eastAsia="Times New Roman"/>
          <w:szCs w:val="24"/>
        </w:rPr>
        <w:t xml:space="preserve">Enampakkumise kehtetuks tunnistamise </w:t>
      </w:r>
      <w:r w:rsidR="64649D6A" w:rsidRPr="0F6B1980">
        <w:rPr>
          <w:rFonts w:eastAsia="Times New Roman"/>
          <w:szCs w:val="24"/>
        </w:rPr>
        <w:t>järgselt</w:t>
      </w:r>
      <w:r w:rsidRPr="0F6B1980">
        <w:rPr>
          <w:rFonts w:eastAsia="Times New Roman"/>
          <w:szCs w:val="24"/>
        </w:rPr>
        <w:t xml:space="preserve"> on sisuliselt tegemist uue täitemenetlusega pärast tagasipööramist</w:t>
      </w:r>
      <w:r w:rsidR="0194F6A3" w:rsidRPr="0F6B1980">
        <w:rPr>
          <w:rFonts w:eastAsia="Times New Roman"/>
          <w:szCs w:val="24"/>
        </w:rPr>
        <w:t xml:space="preserve">, kuid </w:t>
      </w:r>
      <w:r w:rsidR="1604CD8F" w:rsidRPr="0F6B1980">
        <w:rPr>
          <w:rFonts w:eastAsia="Times New Roman"/>
          <w:szCs w:val="24"/>
        </w:rPr>
        <w:t>sõnastusest tuleneb, nagu jätkuks vana täitemenetlus, millest võib olla möödas kümme aastat. Seega on t</w:t>
      </w:r>
      <w:r w:rsidR="2B7FB23E" w:rsidRPr="0F6B1980">
        <w:rPr>
          <w:rFonts w:eastAsia="Times New Roman"/>
          <w:szCs w:val="24"/>
        </w:rPr>
        <w:t>egemist normitehnilise ebaselgusega, mis</w:t>
      </w:r>
      <w:r w:rsidRPr="0F6B1980">
        <w:rPr>
          <w:rFonts w:eastAsia="Times New Roman"/>
          <w:szCs w:val="24"/>
        </w:rPr>
        <w:t xml:space="preserve"> tuleks </w:t>
      </w:r>
      <w:r w:rsidR="2B7FB23E" w:rsidRPr="0F6B1980">
        <w:rPr>
          <w:rFonts w:eastAsia="Times New Roman"/>
          <w:szCs w:val="24"/>
        </w:rPr>
        <w:t>õigusselguse huvides kõrvaldada</w:t>
      </w:r>
      <w:r w:rsidR="67D8A412" w:rsidRPr="0F6B1980">
        <w:rPr>
          <w:rFonts w:eastAsia="Times New Roman"/>
          <w:szCs w:val="24"/>
        </w:rPr>
        <w:t>.</w:t>
      </w:r>
    </w:p>
    <w:p w14:paraId="722688AD" w14:textId="17C0FEF6" w:rsidR="00A56985" w:rsidRPr="00F034D3" w:rsidRDefault="12AA3ADD" w:rsidP="0E64E300">
      <w:pPr>
        <w:spacing w:after="160"/>
        <w:jc w:val="both"/>
        <w:rPr>
          <w:rFonts w:eastAsia="Times New Roman"/>
          <w:szCs w:val="24"/>
        </w:rPr>
      </w:pPr>
      <w:r w:rsidRPr="0E64E300">
        <w:rPr>
          <w:rFonts w:eastAsia="Times New Roman"/>
          <w:szCs w:val="24"/>
        </w:rPr>
        <w:t xml:space="preserve">Palume </w:t>
      </w:r>
      <w:r w:rsidR="5B4C93D8" w:rsidRPr="0E64E300">
        <w:rPr>
          <w:rFonts w:eastAsia="Times New Roman"/>
          <w:szCs w:val="24"/>
        </w:rPr>
        <w:t xml:space="preserve">eeltoodud </w:t>
      </w:r>
      <w:r w:rsidRPr="0E64E300">
        <w:rPr>
          <w:rFonts w:eastAsia="Times New Roman"/>
          <w:szCs w:val="24"/>
        </w:rPr>
        <w:t xml:space="preserve">advokatuuri seisukohti eelnõu </w:t>
      </w:r>
      <w:r w:rsidR="717FBF43" w:rsidRPr="0E64E300">
        <w:rPr>
          <w:rFonts w:eastAsia="Times New Roman"/>
          <w:szCs w:val="24"/>
        </w:rPr>
        <w:t>väljatöötamisel</w:t>
      </w:r>
      <w:r w:rsidRPr="0E64E300">
        <w:rPr>
          <w:rFonts w:eastAsia="Times New Roman"/>
          <w:szCs w:val="24"/>
        </w:rPr>
        <w:t xml:space="preserve"> arvesse võtta. </w:t>
      </w:r>
    </w:p>
    <w:p w14:paraId="5AEE74AA" w14:textId="77777777" w:rsidR="0052343A" w:rsidRPr="0052343A" w:rsidRDefault="0052343A" w:rsidP="5177A449">
      <w:pPr>
        <w:widowControl/>
        <w:suppressAutoHyphens w:val="0"/>
        <w:spacing w:after="200" w:line="276" w:lineRule="auto"/>
        <w:jc w:val="both"/>
        <w:rPr>
          <w:rFonts w:eastAsia="Times New Roman"/>
          <w:szCs w:val="24"/>
        </w:rPr>
      </w:pPr>
    </w:p>
    <w:p w14:paraId="106D1DF6" w14:textId="280D24E4" w:rsidR="00D538B9" w:rsidRDefault="00D538B9" w:rsidP="5177A449">
      <w:pPr>
        <w:widowControl/>
        <w:suppressAutoHyphens w:val="0"/>
        <w:spacing w:after="200"/>
        <w:rPr>
          <w:rFonts w:eastAsia="Times New Roman"/>
          <w:szCs w:val="24"/>
        </w:rPr>
      </w:pPr>
      <w:r w:rsidRPr="5177A449">
        <w:rPr>
          <w:rFonts w:eastAsia="Times New Roman"/>
          <w:szCs w:val="24"/>
        </w:rPr>
        <w:t>Lugupidamisega</w:t>
      </w:r>
    </w:p>
    <w:p w14:paraId="5E9B3E0D" w14:textId="77777777" w:rsidR="007C1294" w:rsidRDefault="007C1294" w:rsidP="5177A449">
      <w:pPr>
        <w:rPr>
          <w:rFonts w:eastAsia="Times New Roman"/>
          <w:szCs w:val="24"/>
        </w:rPr>
      </w:pPr>
      <w:r w:rsidRPr="5177A449">
        <w:rPr>
          <w:rFonts w:eastAsia="Times New Roman"/>
          <w:szCs w:val="24"/>
        </w:rPr>
        <w:t>/</w:t>
      </w:r>
      <w:r w:rsidRPr="5177A449">
        <w:rPr>
          <w:rFonts w:eastAsia="Times New Roman"/>
          <w:i/>
          <w:iCs/>
          <w:szCs w:val="24"/>
        </w:rPr>
        <w:t>allkirjastatud digitaalselt</w:t>
      </w:r>
      <w:r w:rsidRPr="5177A449">
        <w:rPr>
          <w:rFonts w:eastAsia="Times New Roman"/>
          <w:szCs w:val="24"/>
        </w:rPr>
        <w:t>/</w:t>
      </w:r>
    </w:p>
    <w:p w14:paraId="0B704526" w14:textId="77777777" w:rsidR="00CE4A41" w:rsidRDefault="00CE4A41" w:rsidP="5177A449">
      <w:pPr>
        <w:rPr>
          <w:rFonts w:eastAsia="Times New Roman"/>
          <w:szCs w:val="24"/>
        </w:rPr>
      </w:pPr>
    </w:p>
    <w:p w14:paraId="100563ED" w14:textId="77777777" w:rsidR="00331856" w:rsidRDefault="00331856" w:rsidP="5177A449">
      <w:pPr>
        <w:widowControl/>
        <w:suppressAutoHyphens w:val="0"/>
        <w:rPr>
          <w:rFonts w:eastAsia="Times New Roman"/>
          <w:szCs w:val="24"/>
        </w:rPr>
      </w:pPr>
      <w:r w:rsidRPr="5177A449">
        <w:rPr>
          <w:rFonts w:eastAsia="Times New Roman"/>
          <w:szCs w:val="24"/>
        </w:rPr>
        <w:t>Imbi Jürgen</w:t>
      </w:r>
    </w:p>
    <w:p w14:paraId="4CDA587D" w14:textId="284B1831" w:rsidR="007C1294" w:rsidRDefault="00AB3CD8" w:rsidP="5177A449">
      <w:pPr>
        <w:rPr>
          <w:rFonts w:eastAsia="Times New Roman"/>
          <w:szCs w:val="24"/>
        </w:rPr>
      </w:pPr>
      <w:r w:rsidRPr="5177A449">
        <w:rPr>
          <w:rFonts w:eastAsia="Times New Roman"/>
          <w:szCs w:val="24"/>
        </w:rPr>
        <w:t>Esimees</w:t>
      </w:r>
    </w:p>
    <w:p w14:paraId="6F817EDC" w14:textId="77777777" w:rsidR="007C1294" w:rsidRDefault="007C1294" w:rsidP="5177A449">
      <w:pPr>
        <w:rPr>
          <w:rFonts w:eastAsia="Times New Roman"/>
          <w:szCs w:val="24"/>
        </w:rPr>
      </w:pPr>
    </w:p>
    <w:p w14:paraId="55ECBAC0" w14:textId="77777777" w:rsidR="007C1294" w:rsidRDefault="007C1294" w:rsidP="5177A449">
      <w:pPr>
        <w:tabs>
          <w:tab w:val="left" w:pos="5220"/>
        </w:tabs>
        <w:rPr>
          <w:rFonts w:eastAsia="Times New Roman"/>
          <w:szCs w:val="24"/>
        </w:rPr>
      </w:pPr>
    </w:p>
    <w:p w14:paraId="75C54943" w14:textId="77777777" w:rsidR="007C1294" w:rsidRDefault="007C1294" w:rsidP="5177A449">
      <w:pPr>
        <w:tabs>
          <w:tab w:val="left" w:pos="5220"/>
        </w:tabs>
        <w:rPr>
          <w:rFonts w:eastAsia="Times New Roman"/>
          <w:szCs w:val="24"/>
        </w:rPr>
      </w:pPr>
    </w:p>
    <w:p w14:paraId="32FA26BD" w14:textId="77777777" w:rsidR="007F1A2B" w:rsidRDefault="007F1A2B" w:rsidP="5177A449">
      <w:pPr>
        <w:tabs>
          <w:tab w:val="left" w:pos="5220"/>
        </w:tabs>
        <w:rPr>
          <w:rFonts w:eastAsia="Times New Roman"/>
          <w:szCs w:val="24"/>
        </w:rPr>
      </w:pPr>
    </w:p>
    <w:p w14:paraId="282763EE" w14:textId="77777777" w:rsidR="007F1A2B" w:rsidRDefault="007F1A2B" w:rsidP="5177A449">
      <w:pPr>
        <w:rPr>
          <w:rFonts w:eastAsia="Times New Roman"/>
          <w:szCs w:val="24"/>
        </w:rPr>
      </w:pPr>
      <w:r w:rsidRPr="5177A449">
        <w:rPr>
          <w:rFonts w:eastAsia="Times New Roman"/>
          <w:szCs w:val="24"/>
        </w:rPr>
        <w:t>Gerli Võimre 697 9253</w:t>
      </w:r>
    </w:p>
    <w:p w14:paraId="47058E45" w14:textId="53640AC8" w:rsidR="007E215F" w:rsidRPr="007E215F" w:rsidRDefault="612C78BE" w:rsidP="222D1B04">
      <w:pPr>
        <w:rPr>
          <w:rFonts w:eastAsia="Times New Roman"/>
        </w:rPr>
      </w:pPr>
      <w:hyperlink r:id="rId11">
        <w:r w:rsidRPr="222D1B04">
          <w:rPr>
            <w:rStyle w:val="Hyperlink"/>
            <w:rFonts w:eastAsia="Times New Roman"/>
          </w:rPr>
          <w:t>gerli.voimre@advokatuur.ee</w:t>
        </w:r>
      </w:hyperlink>
      <w:r w:rsidRPr="222D1B04">
        <w:rPr>
          <w:rFonts w:eastAsia="Times New Roman"/>
        </w:rPr>
        <w:t xml:space="preserve"> </w:t>
      </w:r>
    </w:p>
    <w:sectPr w:rsidR="007E215F" w:rsidRPr="007E215F" w:rsidSect="0024366C">
      <w:headerReference w:type="even" r:id="rId12"/>
      <w:headerReference w:type="default" r:id="rId13"/>
      <w:footerReference w:type="even" r:id="rId14"/>
      <w:footerReference w:type="default" r:id="rId15"/>
      <w:headerReference w:type="first" r:id="rId16"/>
      <w:footerReference w:type="first" r:id="rId17"/>
      <w:pgSz w:w="11906" w:h="16838"/>
      <w:pgMar w:top="851" w:right="1417" w:bottom="1417" w:left="1417" w:header="709" w:footer="4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77449" w14:textId="77777777" w:rsidR="0081301E" w:rsidRDefault="0081301E" w:rsidP="00F636B5">
      <w:r>
        <w:separator/>
      </w:r>
    </w:p>
  </w:endnote>
  <w:endnote w:type="continuationSeparator" w:id="0">
    <w:p w14:paraId="6C71F118" w14:textId="77777777" w:rsidR="0081301E" w:rsidRDefault="0081301E" w:rsidP="00F63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G Mincho Light J">
    <w:altName w:val="Times New Roman"/>
    <w:charset w:val="00"/>
    <w:family w:val="auto"/>
    <w:pitch w:val="variable"/>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2330D" w14:textId="77777777" w:rsidR="0089445A" w:rsidRDefault="008944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10D37A69" w14:paraId="422130F6" w14:textId="77777777" w:rsidTr="10D37A69">
      <w:trPr>
        <w:trHeight w:val="300"/>
      </w:trPr>
      <w:tc>
        <w:tcPr>
          <w:tcW w:w="3020" w:type="dxa"/>
        </w:tcPr>
        <w:p w14:paraId="7C7FF0BD" w14:textId="0081CF7E" w:rsidR="10D37A69" w:rsidRDefault="10D37A69" w:rsidP="10D37A69">
          <w:pPr>
            <w:pStyle w:val="Header"/>
            <w:ind w:left="-115"/>
          </w:pPr>
        </w:p>
      </w:tc>
      <w:tc>
        <w:tcPr>
          <w:tcW w:w="3020" w:type="dxa"/>
        </w:tcPr>
        <w:p w14:paraId="1EF3BB2C" w14:textId="55886D7F" w:rsidR="10D37A69" w:rsidRDefault="10D37A69" w:rsidP="10D37A69">
          <w:pPr>
            <w:pStyle w:val="Header"/>
            <w:jc w:val="center"/>
          </w:pPr>
        </w:p>
      </w:tc>
      <w:tc>
        <w:tcPr>
          <w:tcW w:w="3020" w:type="dxa"/>
        </w:tcPr>
        <w:p w14:paraId="6DBE9EB0" w14:textId="4D713181" w:rsidR="10D37A69" w:rsidRDefault="10D37A69" w:rsidP="10D37A69">
          <w:pPr>
            <w:pStyle w:val="Header"/>
            <w:ind w:right="-115"/>
            <w:jc w:val="right"/>
          </w:pPr>
        </w:p>
      </w:tc>
    </w:tr>
  </w:tbl>
  <w:p w14:paraId="39D9DA66" w14:textId="4359437A" w:rsidR="10D37A69" w:rsidRDefault="10D37A69" w:rsidP="10D37A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7D896" w14:textId="03AE6269" w:rsidR="005A7619" w:rsidRPr="008A5914" w:rsidRDefault="005A7619" w:rsidP="005A7619">
    <w:pPr>
      <w:pStyle w:val="Footer"/>
      <w:pBdr>
        <w:top w:val="single" w:sz="1" w:space="1" w:color="000000"/>
      </w:pBdr>
      <w:tabs>
        <w:tab w:val="clear" w:pos="4536"/>
        <w:tab w:val="left" w:pos="2268"/>
        <w:tab w:val="left" w:pos="6521"/>
      </w:tabs>
      <w:rPr>
        <w:rFonts w:ascii="Times New Roman" w:hAnsi="Times New Roman" w:cs="Times New Roman"/>
        <w:sz w:val="24"/>
        <w:szCs w:val="24"/>
      </w:rPr>
    </w:pPr>
    <w:r>
      <w:rPr>
        <w:rFonts w:ascii="Times New Roman" w:hAnsi="Times New Roman" w:cs="Times New Roman"/>
        <w:sz w:val="24"/>
        <w:szCs w:val="24"/>
      </w:rPr>
      <w:t>Kentmanni 4</w:t>
    </w:r>
    <w:r>
      <w:rPr>
        <w:rFonts w:ascii="Times New Roman" w:hAnsi="Times New Roman" w:cs="Times New Roman"/>
        <w:sz w:val="24"/>
        <w:szCs w:val="24"/>
      </w:rPr>
      <w:tab/>
    </w:r>
    <w:r w:rsidR="00592D13" w:rsidRPr="00592D13">
      <w:rPr>
        <w:rFonts w:ascii="Times New Roman" w:hAnsi="Times New Roman" w:cs="Times New Roman"/>
        <w:sz w:val="24"/>
        <w:szCs w:val="24"/>
      </w:rPr>
      <w:t>Tel 662 0665</w:t>
    </w:r>
    <w:r>
      <w:rPr>
        <w:rFonts w:ascii="Times New Roman" w:hAnsi="Times New Roman" w:cs="Times New Roman"/>
        <w:sz w:val="24"/>
        <w:szCs w:val="24"/>
      </w:rPr>
      <w:tab/>
    </w:r>
    <w:r w:rsidRPr="008A5914">
      <w:rPr>
        <w:rFonts w:ascii="Times New Roman" w:hAnsi="Times New Roman" w:cs="Times New Roman"/>
        <w:sz w:val="24"/>
        <w:szCs w:val="24"/>
      </w:rPr>
      <w:t xml:space="preserve">Arvelduskonto </w:t>
    </w:r>
  </w:p>
  <w:p w14:paraId="322CB34E" w14:textId="77777777" w:rsidR="005A7619" w:rsidRPr="008A5914" w:rsidRDefault="005A7619" w:rsidP="005A7619">
    <w:pPr>
      <w:pStyle w:val="Footer"/>
      <w:pBdr>
        <w:top w:val="single" w:sz="1" w:space="1" w:color="000000"/>
      </w:pBdr>
      <w:tabs>
        <w:tab w:val="left" w:pos="2268"/>
        <w:tab w:val="left" w:pos="6521"/>
      </w:tabs>
      <w:rPr>
        <w:rFonts w:ascii="Times New Roman" w:hAnsi="Times New Roman" w:cs="Times New Roman"/>
        <w:sz w:val="24"/>
        <w:szCs w:val="24"/>
      </w:rPr>
    </w:pPr>
    <w:r w:rsidRPr="008A5914">
      <w:rPr>
        <w:rFonts w:ascii="Times New Roman" w:hAnsi="Times New Roman" w:cs="Times New Roman"/>
        <w:sz w:val="24"/>
        <w:szCs w:val="24"/>
      </w:rPr>
      <w:t>101</w:t>
    </w:r>
    <w:r>
      <w:rPr>
        <w:rFonts w:ascii="Times New Roman" w:hAnsi="Times New Roman" w:cs="Times New Roman"/>
        <w:sz w:val="24"/>
        <w:szCs w:val="24"/>
      </w:rPr>
      <w:t>16</w:t>
    </w:r>
    <w:r w:rsidRPr="008A5914">
      <w:rPr>
        <w:rFonts w:ascii="Times New Roman" w:hAnsi="Times New Roman" w:cs="Times New Roman"/>
        <w:sz w:val="24"/>
        <w:szCs w:val="24"/>
      </w:rPr>
      <w:t xml:space="preserve"> TALLINN</w:t>
    </w:r>
    <w:r>
      <w:rPr>
        <w:rFonts w:ascii="Times New Roman" w:hAnsi="Times New Roman" w:cs="Times New Roman"/>
        <w:sz w:val="24"/>
        <w:szCs w:val="24"/>
      </w:rPr>
      <w:tab/>
    </w:r>
    <w:r w:rsidRPr="008A5914">
      <w:rPr>
        <w:rFonts w:ascii="Times New Roman" w:hAnsi="Times New Roman" w:cs="Times New Roman"/>
        <w:sz w:val="24"/>
        <w:szCs w:val="24"/>
      </w:rPr>
      <w:t>E-post:</w:t>
    </w:r>
    <w:r>
      <w:rPr>
        <w:rFonts w:ascii="Times New Roman" w:hAnsi="Times New Roman" w:cs="Times New Roman"/>
        <w:sz w:val="24"/>
        <w:szCs w:val="24"/>
      </w:rPr>
      <w:t xml:space="preserve"> </w:t>
    </w:r>
    <w:hyperlink r:id="rId1" w:history="1">
      <w:r w:rsidRPr="00203BF5">
        <w:rPr>
          <w:rStyle w:val="Hyperlink"/>
          <w:rFonts w:ascii="Times New Roman" w:hAnsi="Times New Roman" w:cs="Times New Roman"/>
          <w:sz w:val="24"/>
          <w:szCs w:val="24"/>
        </w:rPr>
        <w:t>advokatuur@advokatuur.ee</w:t>
      </w:r>
    </w:hyperlink>
    <w:r w:rsidRPr="008A5914">
      <w:rPr>
        <w:rFonts w:ascii="Times New Roman" w:hAnsi="Times New Roman" w:cs="Times New Roman"/>
        <w:sz w:val="24"/>
        <w:szCs w:val="24"/>
      </w:rPr>
      <w:t xml:space="preserve"> </w:t>
    </w:r>
    <w:r>
      <w:rPr>
        <w:rFonts w:ascii="Times New Roman" w:hAnsi="Times New Roman" w:cs="Times New Roman"/>
        <w:sz w:val="24"/>
        <w:szCs w:val="24"/>
      </w:rPr>
      <w:tab/>
    </w:r>
    <w:r w:rsidRPr="00435FCE">
      <w:rPr>
        <w:rFonts w:ascii="Times New Roman" w:hAnsi="Times New Roman" w:cs="Times New Roman"/>
        <w:sz w:val="24"/>
        <w:szCs w:val="24"/>
      </w:rPr>
      <w:t>EE167700771009219435</w:t>
    </w:r>
  </w:p>
  <w:p w14:paraId="77E795BE" w14:textId="77777777" w:rsidR="005A7619" w:rsidRDefault="005A7619" w:rsidP="005A7619">
    <w:pPr>
      <w:pStyle w:val="Footer"/>
      <w:tabs>
        <w:tab w:val="clear" w:pos="4536"/>
        <w:tab w:val="left" w:pos="2268"/>
        <w:tab w:val="left" w:pos="6521"/>
      </w:tabs>
    </w:pPr>
    <w:r w:rsidRPr="008A5914">
      <w:rPr>
        <w:rFonts w:ascii="Times New Roman" w:hAnsi="Times New Roman" w:cs="Times New Roman"/>
        <w:sz w:val="24"/>
        <w:szCs w:val="24"/>
      </w:rPr>
      <w:t xml:space="preserve">Reg kood </w:t>
    </w:r>
    <w:r w:rsidRPr="008A5914">
      <w:rPr>
        <w:rFonts w:ascii="Times New Roman" w:hAnsi="Times New Roman" w:cs="Times New Roman"/>
        <w:sz w:val="24"/>
        <w:szCs w:val="28"/>
      </w:rPr>
      <w:t>74000027</w:t>
    </w:r>
    <w:r>
      <w:rPr>
        <w:rFonts w:ascii="Times New Roman" w:hAnsi="Times New Roman" w:cs="Times New Roman"/>
        <w:sz w:val="24"/>
        <w:szCs w:val="28"/>
      </w:rPr>
      <w:tab/>
    </w:r>
    <w:r>
      <w:rPr>
        <w:rFonts w:ascii="Times New Roman" w:hAnsi="Times New Roman" w:cs="Times New Roman"/>
        <w:sz w:val="24"/>
        <w:szCs w:val="28"/>
      </w:rPr>
      <w:tab/>
    </w:r>
    <w:r w:rsidRPr="00435FCE">
      <w:rPr>
        <w:rFonts w:ascii="Times New Roman" w:hAnsi="Times New Roman" w:cs="Times New Roman"/>
        <w:sz w:val="24"/>
        <w:szCs w:val="24"/>
      </w:rPr>
      <w:t>AS LHV Pank</w:t>
    </w:r>
  </w:p>
  <w:p w14:paraId="2C16063A" w14:textId="6642EDC0" w:rsidR="008A5914" w:rsidRPr="005A7619" w:rsidRDefault="008A5914" w:rsidP="005A76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BF5E0" w14:textId="77777777" w:rsidR="0081301E" w:rsidRDefault="0081301E" w:rsidP="00F636B5">
      <w:r>
        <w:separator/>
      </w:r>
    </w:p>
  </w:footnote>
  <w:footnote w:type="continuationSeparator" w:id="0">
    <w:p w14:paraId="0535DDC3" w14:textId="77777777" w:rsidR="0081301E" w:rsidRDefault="0081301E" w:rsidP="00F636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AD1FA" w14:textId="77777777" w:rsidR="0089445A" w:rsidRDefault="008944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10D37A69" w14:paraId="71E0DAC3" w14:textId="77777777" w:rsidTr="10D37A69">
      <w:trPr>
        <w:trHeight w:val="300"/>
      </w:trPr>
      <w:tc>
        <w:tcPr>
          <w:tcW w:w="3020" w:type="dxa"/>
        </w:tcPr>
        <w:p w14:paraId="254FAAE9" w14:textId="0CEA7AB1" w:rsidR="10D37A69" w:rsidRDefault="10D37A69" w:rsidP="10D37A69">
          <w:pPr>
            <w:pStyle w:val="Header"/>
            <w:ind w:left="-115"/>
          </w:pPr>
        </w:p>
      </w:tc>
      <w:tc>
        <w:tcPr>
          <w:tcW w:w="3020" w:type="dxa"/>
        </w:tcPr>
        <w:p w14:paraId="52890677" w14:textId="64F0DFA7" w:rsidR="10D37A69" w:rsidRDefault="10D37A69" w:rsidP="10D37A69">
          <w:pPr>
            <w:pStyle w:val="Header"/>
            <w:jc w:val="center"/>
          </w:pPr>
        </w:p>
      </w:tc>
      <w:tc>
        <w:tcPr>
          <w:tcW w:w="3020" w:type="dxa"/>
        </w:tcPr>
        <w:p w14:paraId="7ED5BA09" w14:textId="7F233D3E" w:rsidR="10D37A69" w:rsidRDefault="10D37A69" w:rsidP="10D37A69">
          <w:pPr>
            <w:pStyle w:val="Header"/>
            <w:ind w:right="-115"/>
            <w:jc w:val="right"/>
          </w:pPr>
        </w:p>
      </w:tc>
    </w:tr>
  </w:tbl>
  <w:p w14:paraId="054F16DB" w14:textId="5852ED94" w:rsidR="10D37A69" w:rsidRDefault="10D37A69" w:rsidP="10D37A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F6869" w14:textId="77777777" w:rsidR="00612C7D" w:rsidRDefault="00612C7D" w:rsidP="00612C7D">
    <w:pPr>
      <w:pStyle w:val="Header"/>
      <w:jc w:val="center"/>
      <w:rPr>
        <w:sz w:val="36"/>
      </w:rPr>
    </w:pPr>
    <w:r>
      <w:rPr>
        <w:noProof/>
        <w:position w:val="-35"/>
        <w:sz w:val="20"/>
        <w:lang w:eastAsia="et-EE"/>
      </w:rPr>
      <w:drawing>
        <wp:inline distT="0" distB="0" distL="0" distR="0" wp14:anchorId="4B9732D5" wp14:editId="0285E974">
          <wp:extent cx="933450" cy="742950"/>
          <wp:effectExtent l="0" t="0" r="0" b="0"/>
          <wp:docPr id="3" name="Picture 3" descr="A picture containing lamp, design, black and white, illustration&#10;&#10;Description automatically generated">
            <a:extLst xmlns:a="http://schemas.openxmlformats.org/drawingml/2006/main">
              <a:ext uri="{FF2B5EF4-FFF2-40B4-BE49-F238E27FC236}">
                <a16:creationId xmlns:a16="http://schemas.microsoft.com/office/drawing/2014/main" id="{67EC2200-EE03-4B57-97BD-E107B59932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amp, design, black and white, illustr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742950"/>
                  </a:xfrm>
                  <a:prstGeom prst="rect">
                    <a:avLst/>
                  </a:prstGeom>
                  <a:noFill/>
                  <a:ln>
                    <a:noFill/>
                  </a:ln>
                </pic:spPr>
              </pic:pic>
            </a:graphicData>
          </a:graphic>
        </wp:inline>
      </w:drawing>
    </w:r>
  </w:p>
  <w:p w14:paraId="563566D3" w14:textId="77777777" w:rsidR="00612C7D" w:rsidRPr="00F636B5" w:rsidRDefault="00612C7D" w:rsidP="00612C7D">
    <w:pPr>
      <w:pBdr>
        <w:bottom w:val="single" w:sz="1" w:space="1" w:color="000000"/>
      </w:pBdr>
      <w:jc w:val="center"/>
      <w:rPr>
        <w:sz w:val="36"/>
        <w:szCs w:val="36"/>
      </w:rPr>
    </w:pPr>
    <w:r w:rsidRPr="00F636B5">
      <w:rPr>
        <w:sz w:val="36"/>
        <w:szCs w:val="36"/>
      </w:rPr>
      <w:t>EESTI ADVOKATUUR</w:t>
    </w:r>
  </w:p>
  <w:p w14:paraId="59B68EF5" w14:textId="77777777" w:rsidR="00612C7D" w:rsidRPr="00F636B5" w:rsidRDefault="00612C7D" w:rsidP="00612C7D">
    <w:pPr>
      <w:jc w:val="center"/>
      <w:rPr>
        <w:sz w:val="25"/>
        <w:szCs w:val="25"/>
      </w:rPr>
    </w:pPr>
    <w:r w:rsidRPr="00F636B5">
      <w:rPr>
        <w:sz w:val="25"/>
        <w:szCs w:val="25"/>
      </w:rPr>
      <w:t>ESTONIAN BAR ASSOCIATION</w:t>
    </w:r>
  </w:p>
  <w:p w14:paraId="573D6274" w14:textId="06991FA3" w:rsidR="00E3299C" w:rsidRPr="00612C7D" w:rsidRDefault="00E3299C" w:rsidP="00612C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85CEE"/>
    <w:multiLevelType w:val="hybridMultilevel"/>
    <w:tmpl w:val="33B0418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568D1D76"/>
    <w:multiLevelType w:val="multilevel"/>
    <w:tmpl w:val="D2D858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A222D17"/>
    <w:multiLevelType w:val="hybridMultilevel"/>
    <w:tmpl w:val="CA50FF14"/>
    <w:lvl w:ilvl="0" w:tplc="361401F8">
      <w:start w:val="1"/>
      <w:numFmt w:val="decimal"/>
      <w:lvlText w:val="%1."/>
      <w:lvlJc w:val="left"/>
      <w:pPr>
        <w:ind w:left="360" w:hanging="360"/>
      </w:pPr>
      <w:rPr>
        <w:rFonts w:hint="default"/>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AB25E44"/>
    <w:multiLevelType w:val="multilevel"/>
    <w:tmpl w:val="62247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5863564">
    <w:abstractNumId w:val="3"/>
  </w:num>
  <w:num w:numId="2" w16cid:durableId="1386101053">
    <w:abstractNumId w:val="2"/>
  </w:num>
  <w:num w:numId="3" w16cid:durableId="1803768504">
    <w:abstractNumId w:val="0"/>
  </w:num>
  <w:num w:numId="4" w16cid:durableId="458574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6B5"/>
    <w:rsid w:val="000205D9"/>
    <w:rsid w:val="00023C71"/>
    <w:rsid w:val="000359CD"/>
    <w:rsid w:val="000404F1"/>
    <w:rsid w:val="00044487"/>
    <w:rsid w:val="00055BB1"/>
    <w:rsid w:val="0007711D"/>
    <w:rsid w:val="000903E8"/>
    <w:rsid w:val="00095AD0"/>
    <w:rsid w:val="00095C3B"/>
    <w:rsid w:val="00097150"/>
    <w:rsid w:val="000A6BE9"/>
    <w:rsid w:val="000A7F50"/>
    <w:rsid w:val="000B186C"/>
    <w:rsid w:val="000B2CEC"/>
    <w:rsid w:val="000C0A09"/>
    <w:rsid w:val="000C43DB"/>
    <w:rsid w:val="000D6865"/>
    <w:rsid w:val="0010183F"/>
    <w:rsid w:val="00113C22"/>
    <w:rsid w:val="00117B0A"/>
    <w:rsid w:val="00130A2F"/>
    <w:rsid w:val="00132964"/>
    <w:rsid w:val="00136C06"/>
    <w:rsid w:val="0015281A"/>
    <w:rsid w:val="001532C7"/>
    <w:rsid w:val="0016775C"/>
    <w:rsid w:val="00181B2F"/>
    <w:rsid w:val="001915D1"/>
    <w:rsid w:val="001A3050"/>
    <w:rsid w:val="001A38E6"/>
    <w:rsid w:val="001B0802"/>
    <w:rsid w:val="001C5387"/>
    <w:rsid w:val="001D024A"/>
    <w:rsid w:val="001D3855"/>
    <w:rsid w:val="001E6706"/>
    <w:rsid w:val="00200DE1"/>
    <w:rsid w:val="00202526"/>
    <w:rsid w:val="00207AA2"/>
    <w:rsid w:val="00207B94"/>
    <w:rsid w:val="00214C26"/>
    <w:rsid w:val="0022781A"/>
    <w:rsid w:val="0023157A"/>
    <w:rsid w:val="00234807"/>
    <w:rsid w:val="0023555C"/>
    <w:rsid w:val="00240D3C"/>
    <w:rsid w:val="0024366C"/>
    <w:rsid w:val="0025512D"/>
    <w:rsid w:val="002601D1"/>
    <w:rsid w:val="00287682"/>
    <w:rsid w:val="00290A9B"/>
    <w:rsid w:val="002A57A8"/>
    <w:rsid w:val="002B1F06"/>
    <w:rsid w:val="002B5DFE"/>
    <w:rsid w:val="002C7008"/>
    <w:rsid w:val="002D1006"/>
    <w:rsid w:val="002D10E9"/>
    <w:rsid w:val="002D21B0"/>
    <w:rsid w:val="00302BCE"/>
    <w:rsid w:val="00310FBE"/>
    <w:rsid w:val="00315D7C"/>
    <w:rsid w:val="00316F56"/>
    <w:rsid w:val="00317EBE"/>
    <w:rsid w:val="00320B69"/>
    <w:rsid w:val="0032192D"/>
    <w:rsid w:val="00330ACB"/>
    <w:rsid w:val="00331856"/>
    <w:rsid w:val="00332EEC"/>
    <w:rsid w:val="00345CDF"/>
    <w:rsid w:val="00352737"/>
    <w:rsid w:val="00355F25"/>
    <w:rsid w:val="00363019"/>
    <w:rsid w:val="003650B8"/>
    <w:rsid w:val="00367232"/>
    <w:rsid w:val="00374C2E"/>
    <w:rsid w:val="003771D2"/>
    <w:rsid w:val="003836CE"/>
    <w:rsid w:val="003840D3"/>
    <w:rsid w:val="0038435F"/>
    <w:rsid w:val="00387849"/>
    <w:rsid w:val="00390077"/>
    <w:rsid w:val="003906A9"/>
    <w:rsid w:val="00391662"/>
    <w:rsid w:val="00392DC1"/>
    <w:rsid w:val="003A79EC"/>
    <w:rsid w:val="003B5C40"/>
    <w:rsid w:val="003B5DB0"/>
    <w:rsid w:val="003D1769"/>
    <w:rsid w:val="003D42D0"/>
    <w:rsid w:val="003D7DFB"/>
    <w:rsid w:val="003E0F02"/>
    <w:rsid w:val="003E72AF"/>
    <w:rsid w:val="003F2C57"/>
    <w:rsid w:val="003F3223"/>
    <w:rsid w:val="00400F19"/>
    <w:rsid w:val="0042417A"/>
    <w:rsid w:val="00425450"/>
    <w:rsid w:val="00435FCE"/>
    <w:rsid w:val="0043738A"/>
    <w:rsid w:val="00437F27"/>
    <w:rsid w:val="00443AEE"/>
    <w:rsid w:val="004464ED"/>
    <w:rsid w:val="00446AE0"/>
    <w:rsid w:val="00450C77"/>
    <w:rsid w:val="004562E0"/>
    <w:rsid w:val="00461124"/>
    <w:rsid w:val="00467C99"/>
    <w:rsid w:val="00472874"/>
    <w:rsid w:val="004946FF"/>
    <w:rsid w:val="004A1431"/>
    <w:rsid w:val="004A2CD7"/>
    <w:rsid w:val="004A43BD"/>
    <w:rsid w:val="004A564D"/>
    <w:rsid w:val="004A73F3"/>
    <w:rsid w:val="004B29BD"/>
    <w:rsid w:val="004B461A"/>
    <w:rsid w:val="004C23CF"/>
    <w:rsid w:val="004E2B93"/>
    <w:rsid w:val="004E367D"/>
    <w:rsid w:val="004F17D0"/>
    <w:rsid w:val="004F2604"/>
    <w:rsid w:val="004F4B91"/>
    <w:rsid w:val="004F4D71"/>
    <w:rsid w:val="0050345A"/>
    <w:rsid w:val="005153AE"/>
    <w:rsid w:val="0052343A"/>
    <w:rsid w:val="005250A7"/>
    <w:rsid w:val="005301C2"/>
    <w:rsid w:val="00530D4D"/>
    <w:rsid w:val="00545E85"/>
    <w:rsid w:val="0057523C"/>
    <w:rsid w:val="00583EA5"/>
    <w:rsid w:val="00592D13"/>
    <w:rsid w:val="005A5FFA"/>
    <w:rsid w:val="005A6716"/>
    <w:rsid w:val="005A7619"/>
    <w:rsid w:val="005B6EA9"/>
    <w:rsid w:val="005B7535"/>
    <w:rsid w:val="005C38C8"/>
    <w:rsid w:val="005E18E1"/>
    <w:rsid w:val="005E22C8"/>
    <w:rsid w:val="005F2F8A"/>
    <w:rsid w:val="006021FB"/>
    <w:rsid w:val="00611E7B"/>
    <w:rsid w:val="00612C73"/>
    <w:rsid w:val="00612C7D"/>
    <w:rsid w:val="00615A2F"/>
    <w:rsid w:val="006505CE"/>
    <w:rsid w:val="00664190"/>
    <w:rsid w:val="0066633C"/>
    <w:rsid w:val="00684C55"/>
    <w:rsid w:val="006A2969"/>
    <w:rsid w:val="006B4427"/>
    <w:rsid w:val="006E1703"/>
    <w:rsid w:val="006E1744"/>
    <w:rsid w:val="006E36A8"/>
    <w:rsid w:val="006F0D13"/>
    <w:rsid w:val="00705583"/>
    <w:rsid w:val="00706138"/>
    <w:rsid w:val="00713E28"/>
    <w:rsid w:val="00723080"/>
    <w:rsid w:val="0073239F"/>
    <w:rsid w:val="00744010"/>
    <w:rsid w:val="00745FC5"/>
    <w:rsid w:val="00752DFB"/>
    <w:rsid w:val="00754E8B"/>
    <w:rsid w:val="00760534"/>
    <w:rsid w:val="00764C0D"/>
    <w:rsid w:val="00783174"/>
    <w:rsid w:val="007A1717"/>
    <w:rsid w:val="007A3458"/>
    <w:rsid w:val="007A3983"/>
    <w:rsid w:val="007B03AA"/>
    <w:rsid w:val="007B07BE"/>
    <w:rsid w:val="007B6251"/>
    <w:rsid w:val="007B6D40"/>
    <w:rsid w:val="007C1294"/>
    <w:rsid w:val="007D4A4F"/>
    <w:rsid w:val="007D6DD1"/>
    <w:rsid w:val="007E215F"/>
    <w:rsid w:val="007E3CF7"/>
    <w:rsid w:val="007E5073"/>
    <w:rsid w:val="007F1A2B"/>
    <w:rsid w:val="00803FC5"/>
    <w:rsid w:val="00806B3A"/>
    <w:rsid w:val="00810C61"/>
    <w:rsid w:val="0081301E"/>
    <w:rsid w:val="0082465F"/>
    <w:rsid w:val="0083607D"/>
    <w:rsid w:val="00843131"/>
    <w:rsid w:val="00851BD3"/>
    <w:rsid w:val="00852CB2"/>
    <w:rsid w:val="00854312"/>
    <w:rsid w:val="00856C34"/>
    <w:rsid w:val="00856DBC"/>
    <w:rsid w:val="00865EE7"/>
    <w:rsid w:val="00881C19"/>
    <w:rsid w:val="00882E48"/>
    <w:rsid w:val="0089445A"/>
    <w:rsid w:val="0089508E"/>
    <w:rsid w:val="00895C67"/>
    <w:rsid w:val="008960C2"/>
    <w:rsid w:val="008A5914"/>
    <w:rsid w:val="008B18CD"/>
    <w:rsid w:val="008B4C05"/>
    <w:rsid w:val="008B7034"/>
    <w:rsid w:val="008E78E8"/>
    <w:rsid w:val="008F0685"/>
    <w:rsid w:val="008F6F86"/>
    <w:rsid w:val="009012A0"/>
    <w:rsid w:val="00914708"/>
    <w:rsid w:val="00914C88"/>
    <w:rsid w:val="0091669D"/>
    <w:rsid w:val="0091718E"/>
    <w:rsid w:val="00917D67"/>
    <w:rsid w:val="009239DD"/>
    <w:rsid w:val="009351FD"/>
    <w:rsid w:val="009403CF"/>
    <w:rsid w:val="00940BB2"/>
    <w:rsid w:val="00955E94"/>
    <w:rsid w:val="00970944"/>
    <w:rsid w:val="00982DF6"/>
    <w:rsid w:val="009847AC"/>
    <w:rsid w:val="00993D29"/>
    <w:rsid w:val="009954CF"/>
    <w:rsid w:val="009961F8"/>
    <w:rsid w:val="009A0128"/>
    <w:rsid w:val="009A6FFE"/>
    <w:rsid w:val="009B139B"/>
    <w:rsid w:val="009B2014"/>
    <w:rsid w:val="009E05BA"/>
    <w:rsid w:val="009E3052"/>
    <w:rsid w:val="009E6EC2"/>
    <w:rsid w:val="009E78AD"/>
    <w:rsid w:val="009F2FAE"/>
    <w:rsid w:val="00A0245B"/>
    <w:rsid w:val="00A04E47"/>
    <w:rsid w:val="00A058F7"/>
    <w:rsid w:val="00A12C7A"/>
    <w:rsid w:val="00A1647C"/>
    <w:rsid w:val="00A17313"/>
    <w:rsid w:val="00A21E05"/>
    <w:rsid w:val="00A527D8"/>
    <w:rsid w:val="00A56985"/>
    <w:rsid w:val="00A703C3"/>
    <w:rsid w:val="00A753CA"/>
    <w:rsid w:val="00A776B5"/>
    <w:rsid w:val="00AB3CD8"/>
    <w:rsid w:val="00AE018D"/>
    <w:rsid w:val="00AF100C"/>
    <w:rsid w:val="00AF519E"/>
    <w:rsid w:val="00B01278"/>
    <w:rsid w:val="00B12140"/>
    <w:rsid w:val="00B16980"/>
    <w:rsid w:val="00B17296"/>
    <w:rsid w:val="00B30E8C"/>
    <w:rsid w:val="00B35BE8"/>
    <w:rsid w:val="00B42873"/>
    <w:rsid w:val="00B438B9"/>
    <w:rsid w:val="00B53728"/>
    <w:rsid w:val="00B564A6"/>
    <w:rsid w:val="00B66343"/>
    <w:rsid w:val="00B81C29"/>
    <w:rsid w:val="00B851D4"/>
    <w:rsid w:val="00BA38B6"/>
    <w:rsid w:val="00BB3E2D"/>
    <w:rsid w:val="00BB5046"/>
    <w:rsid w:val="00BB6225"/>
    <w:rsid w:val="00BC242F"/>
    <w:rsid w:val="00BC40F6"/>
    <w:rsid w:val="00BD0D8C"/>
    <w:rsid w:val="00BD16C3"/>
    <w:rsid w:val="00BE0B9A"/>
    <w:rsid w:val="00BE1ADE"/>
    <w:rsid w:val="00BE6971"/>
    <w:rsid w:val="00C01CA7"/>
    <w:rsid w:val="00C05325"/>
    <w:rsid w:val="00C06946"/>
    <w:rsid w:val="00C15046"/>
    <w:rsid w:val="00C1554A"/>
    <w:rsid w:val="00C20404"/>
    <w:rsid w:val="00C22238"/>
    <w:rsid w:val="00C22FD5"/>
    <w:rsid w:val="00C27BC2"/>
    <w:rsid w:val="00C2AFFB"/>
    <w:rsid w:val="00C370BD"/>
    <w:rsid w:val="00C373DE"/>
    <w:rsid w:val="00C37E43"/>
    <w:rsid w:val="00C62C07"/>
    <w:rsid w:val="00C92EB3"/>
    <w:rsid w:val="00CA2987"/>
    <w:rsid w:val="00CB2193"/>
    <w:rsid w:val="00CB40C9"/>
    <w:rsid w:val="00CB50EF"/>
    <w:rsid w:val="00CB510F"/>
    <w:rsid w:val="00CB79BD"/>
    <w:rsid w:val="00CC0F5C"/>
    <w:rsid w:val="00CC43F5"/>
    <w:rsid w:val="00CD3C55"/>
    <w:rsid w:val="00CE0317"/>
    <w:rsid w:val="00CE3AA3"/>
    <w:rsid w:val="00CE4A41"/>
    <w:rsid w:val="00D014A8"/>
    <w:rsid w:val="00D06765"/>
    <w:rsid w:val="00D117E9"/>
    <w:rsid w:val="00D31A7E"/>
    <w:rsid w:val="00D33076"/>
    <w:rsid w:val="00D41A07"/>
    <w:rsid w:val="00D43AD2"/>
    <w:rsid w:val="00D46EE6"/>
    <w:rsid w:val="00D50ACD"/>
    <w:rsid w:val="00D538B9"/>
    <w:rsid w:val="00D663B1"/>
    <w:rsid w:val="00D733CF"/>
    <w:rsid w:val="00D810C3"/>
    <w:rsid w:val="00D869F0"/>
    <w:rsid w:val="00DA015A"/>
    <w:rsid w:val="00DA172F"/>
    <w:rsid w:val="00DB3092"/>
    <w:rsid w:val="00DB488B"/>
    <w:rsid w:val="00DB5C5E"/>
    <w:rsid w:val="00DC1128"/>
    <w:rsid w:val="00DD1165"/>
    <w:rsid w:val="00DF342C"/>
    <w:rsid w:val="00E04225"/>
    <w:rsid w:val="00E11A4F"/>
    <w:rsid w:val="00E17F60"/>
    <w:rsid w:val="00E3299C"/>
    <w:rsid w:val="00E35FB3"/>
    <w:rsid w:val="00E45F94"/>
    <w:rsid w:val="00E47439"/>
    <w:rsid w:val="00E54AE3"/>
    <w:rsid w:val="00E6573D"/>
    <w:rsid w:val="00E75559"/>
    <w:rsid w:val="00E7702D"/>
    <w:rsid w:val="00E84DA0"/>
    <w:rsid w:val="00E913F3"/>
    <w:rsid w:val="00F034D3"/>
    <w:rsid w:val="00F1143F"/>
    <w:rsid w:val="00F131CA"/>
    <w:rsid w:val="00F207E4"/>
    <w:rsid w:val="00F208EA"/>
    <w:rsid w:val="00F570EF"/>
    <w:rsid w:val="00F60DA1"/>
    <w:rsid w:val="00F618F3"/>
    <w:rsid w:val="00F636B5"/>
    <w:rsid w:val="00F638A5"/>
    <w:rsid w:val="00F658B4"/>
    <w:rsid w:val="00F737E3"/>
    <w:rsid w:val="00F756E7"/>
    <w:rsid w:val="00F765C4"/>
    <w:rsid w:val="00F7685D"/>
    <w:rsid w:val="00F77979"/>
    <w:rsid w:val="00F81A69"/>
    <w:rsid w:val="00F864C9"/>
    <w:rsid w:val="00F91CCD"/>
    <w:rsid w:val="00FA346C"/>
    <w:rsid w:val="00FC5555"/>
    <w:rsid w:val="00FD4184"/>
    <w:rsid w:val="00FE1C48"/>
    <w:rsid w:val="00FE32EF"/>
    <w:rsid w:val="00FE5A55"/>
    <w:rsid w:val="00FF0B3C"/>
    <w:rsid w:val="00FF65B6"/>
    <w:rsid w:val="010917DB"/>
    <w:rsid w:val="015B1AAF"/>
    <w:rsid w:val="0194F6A3"/>
    <w:rsid w:val="01D41ED1"/>
    <w:rsid w:val="029E0926"/>
    <w:rsid w:val="030910F0"/>
    <w:rsid w:val="032E19E7"/>
    <w:rsid w:val="03CCC41F"/>
    <w:rsid w:val="03FB6507"/>
    <w:rsid w:val="042ADB7C"/>
    <w:rsid w:val="0464037B"/>
    <w:rsid w:val="073F9180"/>
    <w:rsid w:val="074F1DB8"/>
    <w:rsid w:val="07663778"/>
    <w:rsid w:val="076644CF"/>
    <w:rsid w:val="08650D5A"/>
    <w:rsid w:val="089CBC33"/>
    <w:rsid w:val="0900D668"/>
    <w:rsid w:val="09132A60"/>
    <w:rsid w:val="0974D778"/>
    <w:rsid w:val="0A62000B"/>
    <w:rsid w:val="0B2750C6"/>
    <w:rsid w:val="0BC3F507"/>
    <w:rsid w:val="0D0DBD2A"/>
    <w:rsid w:val="0D24D574"/>
    <w:rsid w:val="0E060913"/>
    <w:rsid w:val="0E64E300"/>
    <w:rsid w:val="0F0A638D"/>
    <w:rsid w:val="0F43C838"/>
    <w:rsid w:val="0F6B1980"/>
    <w:rsid w:val="0FCEF1EF"/>
    <w:rsid w:val="10A1908D"/>
    <w:rsid w:val="10D37A69"/>
    <w:rsid w:val="11B06194"/>
    <w:rsid w:val="12AA3ADD"/>
    <w:rsid w:val="13094863"/>
    <w:rsid w:val="139522E1"/>
    <w:rsid w:val="141CA615"/>
    <w:rsid w:val="15260CC9"/>
    <w:rsid w:val="156BE5DB"/>
    <w:rsid w:val="157E45D9"/>
    <w:rsid w:val="1604CD8F"/>
    <w:rsid w:val="166882AE"/>
    <w:rsid w:val="16BD3AF8"/>
    <w:rsid w:val="1814804F"/>
    <w:rsid w:val="18188FC1"/>
    <w:rsid w:val="18388B6F"/>
    <w:rsid w:val="19498812"/>
    <w:rsid w:val="1A73A232"/>
    <w:rsid w:val="1AEB38F6"/>
    <w:rsid w:val="1B637B2F"/>
    <w:rsid w:val="1CE07115"/>
    <w:rsid w:val="1DBCCF34"/>
    <w:rsid w:val="21614F24"/>
    <w:rsid w:val="216861BF"/>
    <w:rsid w:val="222D1B04"/>
    <w:rsid w:val="22CA4585"/>
    <w:rsid w:val="22DF1D6A"/>
    <w:rsid w:val="2390D0E3"/>
    <w:rsid w:val="244006E9"/>
    <w:rsid w:val="25A87A8D"/>
    <w:rsid w:val="25C10963"/>
    <w:rsid w:val="264B9311"/>
    <w:rsid w:val="26BF4704"/>
    <w:rsid w:val="2711201A"/>
    <w:rsid w:val="27584E7B"/>
    <w:rsid w:val="28A779CA"/>
    <w:rsid w:val="28CD4E58"/>
    <w:rsid w:val="2953DA93"/>
    <w:rsid w:val="2995A003"/>
    <w:rsid w:val="29AA7ED0"/>
    <w:rsid w:val="29E5C5E0"/>
    <w:rsid w:val="2AB4987B"/>
    <w:rsid w:val="2B021C92"/>
    <w:rsid w:val="2B3B0FDD"/>
    <w:rsid w:val="2B7FB23E"/>
    <w:rsid w:val="2C18F3D4"/>
    <w:rsid w:val="2D127C1E"/>
    <w:rsid w:val="2EDFD84C"/>
    <w:rsid w:val="2F022D02"/>
    <w:rsid w:val="2F8D8A1D"/>
    <w:rsid w:val="2FA6F4AB"/>
    <w:rsid w:val="2FF2545C"/>
    <w:rsid w:val="30CA5330"/>
    <w:rsid w:val="317E2C0C"/>
    <w:rsid w:val="31B7A5C2"/>
    <w:rsid w:val="31CD4954"/>
    <w:rsid w:val="320B2910"/>
    <w:rsid w:val="322BA092"/>
    <w:rsid w:val="329BC31F"/>
    <w:rsid w:val="32D21686"/>
    <w:rsid w:val="3361B367"/>
    <w:rsid w:val="33CBCC45"/>
    <w:rsid w:val="33D12992"/>
    <w:rsid w:val="34C244D4"/>
    <w:rsid w:val="34E9ADFB"/>
    <w:rsid w:val="355B58FF"/>
    <w:rsid w:val="35DE7A8C"/>
    <w:rsid w:val="3667A71C"/>
    <w:rsid w:val="366C78D8"/>
    <w:rsid w:val="36F80F26"/>
    <w:rsid w:val="3763F268"/>
    <w:rsid w:val="37FD2ABC"/>
    <w:rsid w:val="38ABC6AA"/>
    <w:rsid w:val="393C9568"/>
    <w:rsid w:val="39D9EE75"/>
    <w:rsid w:val="39ECA93C"/>
    <w:rsid w:val="3A44C806"/>
    <w:rsid w:val="3BF0B3FB"/>
    <w:rsid w:val="3CE41208"/>
    <w:rsid w:val="3CF1896B"/>
    <w:rsid w:val="3DCF8B35"/>
    <w:rsid w:val="3E1D4A41"/>
    <w:rsid w:val="3E557787"/>
    <w:rsid w:val="3E5B9632"/>
    <w:rsid w:val="401260BE"/>
    <w:rsid w:val="40B96812"/>
    <w:rsid w:val="40CF1116"/>
    <w:rsid w:val="420614A8"/>
    <w:rsid w:val="4243355A"/>
    <w:rsid w:val="42E87670"/>
    <w:rsid w:val="42FB816A"/>
    <w:rsid w:val="4310C7A9"/>
    <w:rsid w:val="43B48CC0"/>
    <w:rsid w:val="440CCC31"/>
    <w:rsid w:val="4506F860"/>
    <w:rsid w:val="4526E535"/>
    <w:rsid w:val="465307C8"/>
    <w:rsid w:val="466EC809"/>
    <w:rsid w:val="4689942C"/>
    <w:rsid w:val="47226832"/>
    <w:rsid w:val="474B233E"/>
    <w:rsid w:val="47FA3529"/>
    <w:rsid w:val="483544B1"/>
    <w:rsid w:val="483EE114"/>
    <w:rsid w:val="48CD7D94"/>
    <w:rsid w:val="48E3917A"/>
    <w:rsid w:val="496286BF"/>
    <w:rsid w:val="4A3ED87D"/>
    <w:rsid w:val="4ADED4C0"/>
    <w:rsid w:val="4B23F95E"/>
    <w:rsid w:val="4BE5A4BF"/>
    <w:rsid w:val="4C18D946"/>
    <w:rsid w:val="4C322840"/>
    <w:rsid w:val="4C78B35C"/>
    <w:rsid w:val="4DA24A3F"/>
    <w:rsid w:val="4DCF8C1A"/>
    <w:rsid w:val="4E038BA4"/>
    <w:rsid w:val="4E90CCDE"/>
    <w:rsid w:val="4EE19949"/>
    <w:rsid w:val="4EF066BA"/>
    <w:rsid w:val="4F574BEF"/>
    <w:rsid w:val="50DE5062"/>
    <w:rsid w:val="5177A449"/>
    <w:rsid w:val="526A84FC"/>
    <w:rsid w:val="530A20C6"/>
    <w:rsid w:val="54A06A82"/>
    <w:rsid w:val="54C60FAA"/>
    <w:rsid w:val="55D4CB3A"/>
    <w:rsid w:val="568DAAF1"/>
    <w:rsid w:val="570A6482"/>
    <w:rsid w:val="57DF2AC8"/>
    <w:rsid w:val="57F9E873"/>
    <w:rsid w:val="58511D34"/>
    <w:rsid w:val="594A10CC"/>
    <w:rsid w:val="5958C34B"/>
    <w:rsid w:val="59B4E781"/>
    <w:rsid w:val="59BA801D"/>
    <w:rsid w:val="5ABAD693"/>
    <w:rsid w:val="5B4C93D8"/>
    <w:rsid w:val="5BB30E79"/>
    <w:rsid w:val="5BEFB9EE"/>
    <w:rsid w:val="5CC085A3"/>
    <w:rsid w:val="5D311504"/>
    <w:rsid w:val="5DAC2D79"/>
    <w:rsid w:val="5E184368"/>
    <w:rsid w:val="5FA450C7"/>
    <w:rsid w:val="60FFCCC1"/>
    <w:rsid w:val="612C78BE"/>
    <w:rsid w:val="61838328"/>
    <w:rsid w:val="62B64C36"/>
    <w:rsid w:val="6383E214"/>
    <w:rsid w:val="63A8E368"/>
    <w:rsid w:val="643DACA8"/>
    <w:rsid w:val="64649D6A"/>
    <w:rsid w:val="646E871A"/>
    <w:rsid w:val="647B44E0"/>
    <w:rsid w:val="664FD952"/>
    <w:rsid w:val="665CC4EF"/>
    <w:rsid w:val="668713C0"/>
    <w:rsid w:val="67BEBADC"/>
    <w:rsid w:val="67D748E9"/>
    <w:rsid w:val="67D8A412"/>
    <w:rsid w:val="6864734B"/>
    <w:rsid w:val="68FFC0FE"/>
    <w:rsid w:val="6A4A0080"/>
    <w:rsid w:val="6AD4FD20"/>
    <w:rsid w:val="6C1FB275"/>
    <w:rsid w:val="6D59B394"/>
    <w:rsid w:val="6F480716"/>
    <w:rsid w:val="6F83A649"/>
    <w:rsid w:val="70AEEE4E"/>
    <w:rsid w:val="70B04AF6"/>
    <w:rsid w:val="71110365"/>
    <w:rsid w:val="717FBF43"/>
    <w:rsid w:val="7187B531"/>
    <w:rsid w:val="71EE9823"/>
    <w:rsid w:val="73D70FDE"/>
    <w:rsid w:val="741E471F"/>
    <w:rsid w:val="75052016"/>
    <w:rsid w:val="7596B1A8"/>
    <w:rsid w:val="77074CEC"/>
    <w:rsid w:val="77D75058"/>
    <w:rsid w:val="7892C77D"/>
    <w:rsid w:val="7CAB1A50"/>
    <w:rsid w:val="7DEF9DE6"/>
    <w:rsid w:val="7ED13364"/>
    <w:rsid w:val="7F33DC32"/>
    <w:rsid w:val="7FA7F65A"/>
    <w:rsid w:val="7FB1A9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2C0F7"/>
  <w15:docId w15:val="{8E8CF926-86EC-4464-BA92-3469974FA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223"/>
    <w:pPr>
      <w:widowControl w:val="0"/>
      <w:suppressAutoHyphens/>
      <w:spacing w:after="0" w:line="240" w:lineRule="auto"/>
    </w:pPr>
    <w:rPr>
      <w:rFonts w:ascii="Times New Roman" w:eastAsia="HG Mincho Light J" w:hAnsi="Times New Roman" w:cs="Times New Roman"/>
      <w:color w:val="000000"/>
      <w:sz w:val="24"/>
      <w:szCs w:val="20"/>
      <w:lang w:eastAsia="et-EE"/>
    </w:rPr>
  </w:style>
  <w:style w:type="paragraph" w:styleId="Heading1">
    <w:name w:val="Heading 1"/>
    <w:basedOn w:val="Normal"/>
    <w:next w:val="Normal"/>
    <w:link w:val="Heading1Char"/>
    <w:uiPriority w:val="9"/>
    <w:qFormat/>
    <w:rsid w:val="0089445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9445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9445A"/>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89445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9445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89445A"/>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9445A"/>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9445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944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636B5"/>
    <w:pPr>
      <w:widowControl/>
      <w:tabs>
        <w:tab w:val="center" w:pos="4536"/>
        <w:tab w:val="right" w:pos="9072"/>
      </w:tabs>
      <w:suppressAutoHyphens w:val="0"/>
    </w:pPr>
    <w:rPr>
      <w:rFonts w:asciiTheme="minorHAnsi" w:eastAsiaTheme="minorHAnsi" w:hAnsiTheme="minorHAnsi" w:cstheme="minorBidi"/>
      <w:color w:val="auto"/>
      <w:sz w:val="22"/>
      <w:szCs w:val="22"/>
      <w:lang w:eastAsia="en-US"/>
    </w:rPr>
  </w:style>
  <w:style w:type="character" w:customStyle="1" w:styleId="HeaderChar">
    <w:name w:val="Header Char"/>
    <w:basedOn w:val="DefaultParagraphFont"/>
    <w:link w:val="Header"/>
    <w:uiPriority w:val="99"/>
    <w:rsid w:val="00F636B5"/>
  </w:style>
  <w:style w:type="paragraph" w:styleId="Footer">
    <w:name w:val="Footer"/>
    <w:basedOn w:val="Normal"/>
    <w:link w:val="FooterChar"/>
    <w:unhideWhenUsed/>
    <w:rsid w:val="00F636B5"/>
    <w:pPr>
      <w:widowControl/>
      <w:tabs>
        <w:tab w:val="center" w:pos="4536"/>
        <w:tab w:val="right" w:pos="9072"/>
      </w:tabs>
      <w:suppressAutoHyphens w:val="0"/>
    </w:pPr>
    <w:rPr>
      <w:rFonts w:asciiTheme="minorHAnsi" w:eastAsiaTheme="minorHAnsi" w:hAnsiTheme="minorHAnsi" w:cstheme="minorBidi"/>
      <w:color w:val="auto"/>
      <w:sz w:val="22"/>
      <w:szCs w:val="22"/>
      <w:lang w:eastAsia="en-US"/>
    </w:rPr>
  </w:style>
  <w:style w:type="character" w:customStyle="1" w:styleId="FooterChar">
    <w:name w:val="Footer Char"/>
    <w:basedOn w:val="DefaultParagraphFont"/>
    <w:link w:val="Footer"/>
    <w:rsid w:val="00F636B5"/>
  </w:style>
  <w:style w:type="paragraph" w:styleId="BalloonText">
    <w:name w:val="Balloon Text"/>
    <w:basedOn w:val="Normal"/>
    <w:link w:val="BalloonTextChar"/>
    <w:uiPriority w:val="99"/>
    <w:semiHidden/>
    <w:unhideWhenUsed/>
    <w:rsid w:val="00F636B5"/>
    <w:pPr>
      <w:widowControl/>
      <w:suppressAutoHyphens w:val="0"/>
    </w:pPr>
    <w:rPr>
      <w:rFonts w:ascii="Tahoma" w:eastAsiaTheme="minorHAnsi" w:hAnsi="Tahoma" w:cs="Tahoma"/>
      <w:color w:val="auto"/>
      <w:sz w:val="16"/>
      <w:szCs w:val="16"/>
      <w:lang w:eastAsia="en-US"/>
    </w:rPr>
  </w:style>
  <w:style w:type="character" w:customStyle="1" w:styleId="BalloonTextChar">
    <w:name w:val="Balloon Text Char"/>
    <w:basedOn w:val="DefaultParagraphFont"/>
    <w:link w:val="BalloonText"/>
    <w:uiPriority w:val="99"/>
    <w:semiHidden/>
    <w:rsid w:val="00F636B5"/>
    <w:rPr>
      <w:rFonts w:ascii="Tahoma" w:hAnsi="Tahoma" w:cs="Tahoma"/>
      <w:sz w:val="16"/>
      <w:szCs w:val="16"/>
    </w:rPr>
  </w:style>
  <w:style w:type="character" w:styleId="Hyperlink">
    <w:name w:val="Hyperlink"/>
    <w:rsid w:val="003F3223"/>
    <w:rPr>
      <w:color w:val="0000FF"/>
      <w:u w:val="single"/>
    </w:rPr>
  </w:style>
  <w:style w:type="character" w:customStyle="1" w:styleId="style4style5style6">
    <w:name w:val="style4 style5 style6"/>
    <w:basedOn w:val="DefaultParagraphFont"/>
    <w:rsid w:val="003F3223"/>
  </w:style>
  <w:style w:type="paragraph" w:customStyle="1" w:styleId="Default">
    <w:name w:val="Default"/>
    <w:rsid w:val="003F3223"/>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styleId="ListParagraph">
    <w:name w:val="List Paragraph"/>
    <w:basedOn w:val="Normal"/>
    <w:uiPriority w:val="34"/>
    <w:qFormat/>
    <w:rsid w:val="007B03AA"/>
    <w:pPr>
      <w:ind w:left="720"/>
      <w:contextualSpacing/>
    </w:pPr>
  </w:style>
  <w:style w:type="character" w:styleId="UnresolvedMention">
    <w:name w:val="Unresolved Mention"/>
    <w:basedOn w:val="DefaultParagraphFont"/>
    <w:uiPriority w:val="99"/>
    <w:semiHidden/>
    <w:unhideWhenUsed/>
    <w:rsid w:val="007C1294"/>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BookTitle">
    <w:name w:val="Book Title"/>
    <w:basedOn w:val="DefaultParagraphFont"/>
    <w:uiPriority w:val="33"/>
    <w:qFormat/>
    <w:rsid w:val="0089445A"/>
    <w:rPr>
      <w:b/>
      <w:bCs/>
      <w:i/>
      <w:iCs/>
      <w:spacing w:val="5"/>
    </w:rPr>
  </w:style>
  <w:style w:type="paragraph" w:styleId="Caption">
    <w:name w:val="Caption"/>
    <w:basedOn w:val="Normal"/>
    <w:next w:val="Normal"/>
    <w:uiPriority w:val="35"/>
    <w:semiHidden/>
    <w:unhideWhenUsed/>
    <w:qFormat/>
    <w:rsid w:val="0089445A"/>
    <w:pPr>
      <w:spacing w:after="200"/>
    </w:pPr>
    <w:rPr>
      <w:i/>
      <w:iCs/>
      <w:color w:val="1F497D" w:themeColor="text2"/>
      <w:sz w:val="18"/>
      <w:szCs w:val="18"/>
    </w:rPr>
  </w:style>
  <w:style w:type="character" w:styleId="Emphasis">
    <w:name w:val="Emphasis"/>
    <w:basedOn w:val="DefaultParagraphFont"/>
    <w:uiPriority w:val="20"/>
    <w:qFormat/>
    <w:rsid w:val="0089445A"/>
    <w:rPr>
      <w:i/>
      <w:iCs/>
    </w:rPr>
  </w:style>
  <w:style w:type="character" w:customStyle="1" w:styleId="Heading1Char">
    <w:name w:val="Heading 1 Char"/>
    <w:basedOn w:val="DefaultParagraphFont"/>
    <w:link w:val="Heading1"/>
    <w:uiPriority w:val="9"/>
    <w:rsid w:val="0089445A"/>
    <w:rPr>
      <w:rFonts w:asciiTheme="majorHAnsi" w:eastAsiaTheme="majorEastAsia" w:hAnsiTheme="majorHAnsi" w:cstheme="majorBidi"/>
      <w:color w:val="365F91" w:themeColor="accent1" w:themeShade="BF"/>
      <w:sz w:val="32"/>
      <w:szCs w:val="32"/>
      <w:lang w:eastAsia="et-EE"/>
    </w:rPr>
  </w:style>
  <w:style w:type="character" w:customStyle="1" w:styleId="Heading2Char">
    <w:name w:val="Heading 2 Char"/>
    <w:basedOn w:val="DefaultParagraphFont"/>
    <w:link w:val="Heading2"/>
    <w:uiPriority w:val="9"/>
    <w:semiHidden/>
    <w:rsid w:val="0089445A"/>
    <w:rPr>
      <w:rFonts w:asciiTheme="majorHAnsi" w:eastAsiaTheme="majorEastAsia" w:hAnsiTheme="majorHAnsi" w:cstheme="majorBidi"/>
      <w:color w:val="365F91" w:themeColor="accent1" w:themeShade="BF"/>
      <w:sz w:val="26"/>
      <w:szCs w:val="26"/>
      <w:lang w:eastAsia="et-EE"/>
    </w:rPr>
  </w:style>
  <w:style w:type="character" w:customStyle="1" w:styleId="Heading3Char">
    <w:name w:val="Heading 3 Char"/>
    <w:basedOn w:val="DefaultParagraphFont"/>
    <w:link w:val="Heading3"/>
    <w:uiPriority w:val="9"/>
    <w:semiHidden/>
    <w:rsid w:val="0089445A"/>
    <w:rPr>
      <w:rFonts w:asciiTheme="majorHAnsi" w:eastAsiaTheme="majorEastAsia" w:hAnsiTheme="majorHAnsi" w:cstheme="majorBidi"/>
      <w:color w:val="243F60" w:themeColor="accent1" w:themeShade="7F"/>
      <w:sz w:val="24"/>
      <w:szCs w:val="24"/>
      <w:lang w:eastAsia="et-EE"/>
    </w:rPr>
  </w:style>
  <w:style w:type="character" w:customStyle="1" w:styleId="Heading4Char">
    <w:name w:val="Heading 4 Char"/>
    <w:basedOn w:val="DefaultParagraphFont"/>
    <w:link w:val="Heading4"/>
    <w:uiPriority w:val="9"/>
    <w:semiHidden/>
    <w:rsid w:val="0089445A"/>
    <w:rPr>
      <w:rFonts w:asciiTheme="majorHAnsi" w:eastAsiaTheme="majorEastAsia" w:hAnsiTheme="majorHAnsi" w:cstheme="majorBidi"/>
      <w:i/>
      <w:iCs/>
      <w:color w:val="365F91" w:themeColor="accent1" w:themeShade="BF"/>
      <w:sz w:val="24"/>
      <w:szCs w:val="20"/>
      <w:lang w:eastAsia="et-EE"/>
    </w:rPr>
  </w:style>
  <w:style w:type="character" w:customStyle="1" w:styleId="Heading5Char">
    <w:name w:val="Heading 5 Char"/>
    <w:basedOn w:val="DefaultParagraphFont"/>
    <w:link w:val="Heading5"/>
    <w:uiPriority w:val="9"/>
    <w:semiHidden/>
    <w:rsid w:val="0089445A"/>
    <w:rPr>
      <w:rFonts w:asciiTheme="majorHAnsi" w:eastAsiaTheme="majorEastAsia" w:hAnsiTheme="majorHAnsi" w:cstheme="majorBidi"/>
      <w:color w:val="365F91" w:themeColor="accent1" w:themeShade="BF"/>
      <w:sz w:val="24"/>
      <w:szCs w:val="20"/>
      <w:lang w:eastAsia="et-EE"/>
    </w:rPr>
  </w:style>
  <w:style w:type="character" w:customStyle="1" w:styleId="Heading6Char">
    <w:name w:val="Heading 6 Char"/>
    <w:basedOn w:val="DefaultParagraphFont"/>
    <w:link w:val="Heading6"/>
    <w:uiPriority w:val="9"/>
    <w:semiHidden/>
    <w:rsid w:val="0089445A"/>
    <w:rPr>
      <w:rFonts w:asciiTheme="majorHAnsi" w:eastAsiaTheme="majorEastAsia" w:hAnsiTheme="majorHAnsi" w:cstheme="majorBidi"/>
      <w:color w:val="243F60" w:themeColor="accent1" w:themeShade="7F"/>
      <w:sz w:val="24"/>
      <w:szCs w:val="20"/>
      <w:lang w:eastAsia="et-EE"/>
    </w:rPr>
  </w:style>
  <w:style w:type="character" w:customStyle="1" w:styleId="Heading7Char">
    <w:name w:val="Heading 7 Char"/>
    <w:basedOn w:val="DefaultParagraphFont"/>
    <w:link w:val="Heading7"/>
    <w:uiPriority w:val="9"/>
    <w:semiHidden/>
    <w:rsid w:val="0089445A"/>
    <w:rPr>
      <w:rFonts w:asciiTheme="majorHAnsi" w:eastAsiaTheme="majorEastAsia" w:hAnsiTheme="majorHAnsi" w:cstheme="majorBidi"/>
      <w:i/>
      <w:iCs/>
      <w:color w:val="243F60" w:themeColor="accent1" w:themeShade="7F"/>
      <w:sz w:val="24"/>
      <w:szCs w:val="20"/>
      <w:lang w:eastAsia="et-EE"/>
    </w:rPr>
  </w:style>
  <w:style w:type="character" w:customStyle="1" w:styleId="Heading8Char">
    <w:name w:val="Heading 8 Char"/>
    <w:basedOn w:val="DefaultParagraphFont"/>
    <w:link w:val="Heading8"/>
    <w:uiPriority w:val="9"/>
    <w:semiHidden/>
    <w:rsid w:val="0089445A"/>
    <w:rPr>
      <w:rFonts w:asciiTheme="majorHAnsi" w:eastAsiaTheme="majorEastAsia" w:hAnsiTheme="majorHAnsi" w:cstheme="majorBidi"/>
      <w:color w:val="272727" w:themeColor="text1" w:themeTint="D8"/>
      <w:sz w:val="21"/>
      <w:szCs w:val="21"/>
      <w:lang w:eastAsia="et-EE"/>
    </w:rPr>
  </w:style>
  <w:style w:type="character" w:customStyle="1" w:styleId="Heading9Char">
    <w:name w:val="Heading 9 Char"/>
    <w:basedOn w:val="DefaultParagraphFont"/>
    <w:link w:val="Heading9"/>
    <w:uiPriority w:val="9"/>
    <w:semiHidden/>
    <w:rsid w:val="0089445A"/>
    <w:rPr>
      <w:rFonts w:asciiTheme="majorHAnsi" w:eastAsiaTheme="majorEastAsia" w:hAnsiTheme="majorHAnsi" w:cstheme="majorBidi"/>
      <w:i/>
      <w:iCs/>
      <w:color w:val="272727" w:themeColor="text1" w:themeTint="D8"/>
      <w:sz w:val="21"/>
      <w:szCs w:val="21"/>
      <w:lang w:eastAsia="et-EE"/>
    </w:rPr>
  </w:style>
  <w:style w:type="character" w:styleId="IntenseEmphasis">
    <w:name w:val="Intense Emphasis"/>
    <w:basedOn w:val="DefaultParagraphFont"/>
    <w:uiPriority w:val="21"/>
    <w:qFormat/>
    <w:rsid w:val="0089445A"/>
    <w:rPr>
      <w:i/>
      <w:iCs/>
      <w:color w:val="4F81BD" w:themeColor="accent1"/>
    </w:rPr>
  </w:style>
  <w:style w:type="paragraph" w:styleId="IntenseQuote">
    <w:name w:val="Intense Quote"/>
    <w:basedOn w:val="Normal"/>
    <w:next w:val="Normal"/>
    <w:link w:val="IntenseQuoteChar"/>
    <w:uiPriority w:val="30"/>
    <w:qFormat/>
    <w:rsid w:val="0089445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9445A"/>
    <w:rPr>
      <w:rFonts w:ascii="Times New Roman" w:eastAsia="HG Mincho Light J" w:hAnsi="Times New Roman" w:cs="Times New Roman"/>
      <w:i/>
      <w:iCs/>
      <w:color w:val="4F81BD" w:themeColor="accent1"/>
      <w:sz w:val="24"/>
      <w:szCs w:val="20"/>
      <w:lang w:eastAsia="et-EE"/>
    </w:rPr>
  </w:style>
  <w:style w:type="character" w:styleId="IntenseReference">
    <w:name w:val="Intense Reference"/>
    <w:basedOn w:val="DefaultParagraphFont"/>
    <w:uiPriority w:val="32"/>
    <w:qFormat/>
    <w:rsid w:val="0089445A"/>
    <w:rPr>
      <w:b/>
      <w:bCs/>
      <w:smallCaps/>
      <w:color w:val="4F81BD" w:themeColor="accent1"/>
      <w:spacing w:val="5"/>
    </w:rPr>
  </w:style>
  <w:style w:type="paragraph" w:styleId="NoSpacing">
    <w:name w:val="No Spacing"/>
    <w:uiPriority w:val="1"/>
    <w:qFormat/>
    <w:rsid w:val="0089445A"/>
    <w:pPr>
      <w:widowControl w:val="0"/>
      <w:suppressAutoHyphens/>
      <w:spacing w:after="0" w:line="240" w:lineRule="auto"/>
    </w:pPr>
    <w:rPr>
      <w:rFonts w:ascii="Times New Roman" w:eastAsia="HG Mincho Light J" w:hAnsi="Times New Roman" w:cs="Times New Roman"/>
      <w:color w:val="000000"/>
      <w:sz w:val="24"/>
      <w:szCs w:val="20"/>
      <w:lang w:eastAsia="et-EE"/>
    </w:rPr>
  </w:style>
  <w:style w:type="paragraph" w:styleId="Quote">
    <w:name w:val="Quote"/>
    <w:basedOn w:val="Normal"/>
    <w:next w:val="Normal"/>
    <w:link w:val="QuoteChar"/>
    <w:uiPriority w:val="29"/>
    <w:qFormat/>
    <w:rsid w:val="0089445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9445A"/>
    <w:rPr>
      <w:rFonts w:ascii="Times New Roman" w:eastAsia="HG Mincho Light J" w:hAnsi="Times New Roman" w:cs="Times New Roman"/>
      <w:i/>
      <w:iCs/>
      <w:color w:val="404040" w:themeColor="text1" w:themeTint="BF"/>
      <w:sz w:val="24"/>
      <w:szCs w:val="20"/>
      <w:lang w:eastAsia="et-EE"/>
    </w:rPr>
  </w:style>
  <w:style w:type="character" w:styleId="Strong">
    <w:name w:val="Strong"/>
    <w:basedOn w:val="DefaultParagraphFont"/>
    <w:uiPriority w:val="22"/>
    <w:qFormat/>
    <w:rsid w:val="0089445A"/>
    <w:rPr>
      <w:b/>
      <w:bCs/>
    </w:rPr>
  </w:style>
  <w:style w:type="paragraph" w:styleId="Subtitle">
    <w:name w:val="Subtitle"/>
    <w:basedOn w:val="Normal"/>
    <w:next w:val="Normal"/>
    <w:link w:val="SubtitleChar"/>
    <w:uiPriority w:val="11"/>
    <w:qFormat/>
    <w:rsid w:val="0089445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9445A"/>
    <w:rPr>
      <w:rFonts w:eastAsiaTheme="minorEastAsia"/>
      <w:color w:val="5A5A5A" w:themeColor="text1" w:themeTint="A5"/>
      <w:spacing w:val="15"/>
      <w:lang w:eastAsia="et-EE"/>
    </w:rPr>
  </w:style>
  <w:style w:type="character" w:styleId="SubtleEmphasis">
    <w:name w:val="Subtle Emphasis"/>
    <w:basedOn w:val="DefaultParagraphFont"/>
    <w:uiPriority w:val="19"/>
    <w:qFormat/>
    <w:rsid w:val="0089445A"/>
    <w:rPr>
      <w:i/>
      <w:iCs/>
      <w:color w:val="404040" w:themeColor="text1" w:themeTint="BF"/>
    </w:rPr>
  </w:style>
  <w:style w:type="character" w:styleId="SubtleReference">
    <w:name w:val="Subtle Reference"/>
    <w:basedOn w:val="DefaultParagraphFont"/>
    <w:uiPriority w:val="31"/>
    <w:qFormat/>
    <w:rsid w:val="0089445A"/>
    <w:rPr>
      <w:smallCaps/>
      <w:color w:val="5A5A5A" w:themeColor="text1" w:themeTint="A5"/>
    </w:rPr>
  </w:style>
  <w:style w:type="paragraph" w:styleId="Title">
    <w:name w:val="Title"/>
    <w:basedOn w:val="Normal"/>
    <w:next w:val="Normal"/>
    <w:link w:val="TitleChar"/>
    <w:uiPriority w:val="10"/>
    <w:qFormat/>
    <w:rsid w:val="0089445A"/>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9445A"/>
    <w:rPr>
      <w:rFonts w:asciiTheme="majorHAnsi" w:eastAsiaTheme="majorEastAsia" w:hAnsiTheme="majorHAnsi" w:cstheme="majorBidi"/>
      <w:spacing w:val="-10"/>
      <w:kern w:val="28"/>
      <w:sz w:val="56"/>
      <w:szCs w:val="56"/>
      <w:lang w:eastAsia="et-EE"/>
    </w:rPr>
  </w:style>
  <w:style w:type="paragraph" w:styleId="TOCHeading">
    <w:name w:val="TOC Heading"/>
    <w:basedOn w:val="Heading1"/>
    <w:next w:val="Normal"/>
    <w:uiPriority w:val="39"/>
    <w:semiHidden/>
    <w:unhideWhenUsed/>
    <w:qFormat/>
    <w:rsid w:val="0089445A"/>
    <w:pPr>
      <w:outlineLvl w:val="9"/>
    </w:pPr>
  </w:style>
  <w:style w:type="character" w:styleId="CommentReference">
    <w:name w:val="Comment Reference"/>
    <w:basedOn w:val="DefaultParagraphFont"/>
    <w:uiPriority w:val="99"/>
    <w:semiHidden/>
    <w:unhideWhenUsed/>
    <w:rsid w:val="00806B3A"/>
    <w:rPr>
      <w:sz w:val="16"/>
      <w:szCs w:val="16"/>
    </w:rPr>
  </w:style>
  <w:style w:type="paragraph" w:styleId="CommentText">
    <w:name w:val="Comment Text"/>
    <w:basedOn w:val="Normal"/>
    <w:link w:val="CommentTextChar"/>
    <w:uiPriority w:val="99"/>
    <w:unhideWhenUsed/>
    <w:rsid w:val="00806B3A"/>
    <w:rPr>
      <w:sz w:val="20"/>
    </w:rPr>
  </w:style>
  <w:style w:type="character" w:customStyle="1" w:styleId="CommentTextChar">
    <w:name w:val="Comment Text Char"/>
    <w:basedOn w:val="DefaultParagraphFont"/>
    <w:link w:val="CommentText"/>
    <w:uiPriority w:val="99"/>
    <w:rsid w:val="00806B3A"/>
    <w:rPr>
      <w:rFonts w:ascii="Times New Roman" w:eastAsia="HG Mincho Light J" w:hAnsi="Times New Roman" w:cs="Times New Roman"/>
      <w:color w:val="000000"/>
      <w:sz w:val="20"/>
      <w:szCs w:val="20"/>
      <w:lang w:eastAsia="et-EE"/>
    </w:rPr>
  </w:style>
  <w:style w:type="paragraph" w:styleId="CommentSubject">
    <w:name w:val="Comment Subject"/>
    <w:basedOn w:val="CommentText"/>
    <w:next w:val="CommentText"/>
    <w:link w:val="CommentSubjectChar"/>
    <w:uiPriority w:val="99"/>
    <w:semiHidden/>
    <w:unhideWhenUsed/>
    <w:rsid w:val="00806B3A"/>
    <w:rPr>
      <w:b/>
      <w:bCs/>
    </w:rPr>
  </w:style>
  <w:style w:type="character" w:customStyle="1" w:styleId="CommentSubjectChar">
    <w:name w:val="Comment Subject Char"/>
    <w:basedOn w:val="CommentTextChar"/>
    <w:link w:val="CommentSubject"/>
    <w:uiPriority w:val="99"/>
    <w:semiHidden/>
    <w:rsid w:val="00806B3A"/>
    <w:rPr>
      <w:rFonts w:ascii="Times New Roman" w:eastAsia="HG Mincho Light J" w:hAnsi="Times New Roman" w:cs="Times New Roman"/>
      <w:b/>
      <w:bCs/>
      <w:color w:val="000000"/>
      <w:sz w:val="20"/>
      <w:szCs w:val="20"/>
      <w:lang w:eastAsia="et-EE"/>
    </w:rPr>
  </w:style>
  <w:style w:type="paragraph" w:styleId="Revision">
    <w:name w:val="Revision"/>
    <w:hidden/>
    <w:uiPriority w:val="99"/>
    <w:semiHidden/>
    <w:rsid w:val="00CB2193"/>
    <w:pPr>
      <w:spacing w:after="0" w:line="240" w:lineRule="auto"/>
    </w:pPr>
    <w:rPr>
      <w:rFonts w:ascii="Times New Roman" w:eastAsia="HG Mincho Light J" w:hAnsi="Times New Roman" w:cs="Times New Roman"/>
      <w:color w:val="000000"/>
      <w:sz w:val="24"/>
      <w:szCs w:val="20"/>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erli.voimre@advokatuur.e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justdigi.ee"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mailto:advokatuur@advokatuur.e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ef563e4-a684-4eea-bca7-75b3817198a1">
      <Terms xmlns="http://schemas.microsoft.com/office/infopath/2007/PartnerControls"/>
    </lcf76f155ced4ddcb4097134ff3c332f>
    <_x0032_025 xmlns="3ef563e4-a684-4eea-bca7-75b3817198a1" xsi:nil="true"/>
    <Jrknr xmlns="3ef563e4-a684-4eea-bca7-75b3817198a1">1</Jrkn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3EBE023BF9C34BB62A80050EA21CD9" ma:contentTypeVersion="20" ma:contentTypeDescription="Create a new document." ma:contentTypeScope="" ma:versionID="b65601ad787398f3a863c5a7400cbd39">
  <xsd:schema xmlns:xsd="http://www.w3.org/2001/XMLSchema" xmlns:xs="http://www.w3.org/2001/XMLSchema" xmlns:p="http://schemas.microsoft.com/office/2006/metadata/properties" xmlns:ns2="3ef563e4-a684-4eea-bca7-75b3817198a1" xmlns:ns3="23825f18-a025-4d7c-842d-029e8d8147a0" targetNamespace="http://schemas.microsoft.com/office/2006/metadata/properties" ma:root="true" ma:fieldsID="95347bd070c4114e518ee55b4dc572e6" ns2:_="" ns3:_="">
    <xsd:import namespace="3ef563e4-a684-4eea-bca7-75b3817198a1"/>
    <xsd:import namespace="23825f18-a025-4d7c-842d-029e8d8147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2:Jrknr" minOccurs="0"/>
                <xsd:element ref="ns2:MediaServiceObjectDetectorVersions" minOccurs="0"/>
                <xsd:element ref="ns2:MediaServiceSearchProperties" minOccurs="0"/>
                <xsd:element ref="ns2:_x0032_02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f563e4-a684-4eea-bca7-75b3817198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978271f-27e5-43dd-9024-7121501f8189" ma:termSetId="09814cd3-568e-fe90-9814-8d621ff8fb84" ma:anchorId="fba54fb3-c3e1-fe81-a776-ca4b69148c4d" ma:open="true" ma:isKeyword="false">
      <xsd:complexType>
        <xsd:sequence>
          <xsd:element ref="pc:Terms" minOccurs="0" maxOccurs="1"/>
        </xsd:sequence>
      </xsd:complexType>
    </xsd:element>
    <xsd:element name="Jrknr" ma:index="23" nillable="true" ma:displayName="Jrk nr" ma:default="1" ma:format="Dropdown" ma:indexed="true" ma:internalName="Jrknr" ma:percentage="FALSE">
      <xsd:simpleType>
        <xsd:restriction base="dms:Number">
          <xsd:minInclusive value="1"/>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x0032_025" ma:index="26" nillable="true" ma:displayName="2025" ma:internalName="_x0032_025">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825f18-a025-4d7c-842d-029e8d8147a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29F925-0E74-463A-9EA8-D81D8A04224A}">
  <ds:schemaRefs>
    <ds:schemaRef ds:uri="http://schemas.microsoft.com/sharepoint/v3/contenttype/forms"/>
  </ds:schemaRefs>
</ds:datastoreItem>
</file>

<file path=customXml/itemProps2.xml><?xml version="1.0" encoding="utf-8"?>
<ds:datastoreItem xmlns:ds="http://schemas.openxmlformats.org/officeDocument/2006/customXml" ds:itemID="{DA8B5480-1B74-4E28-A5C4-2EA5FF91CF99}">
  <ds:schemaRefs>
    <ds:schemaRef ds:uri="http://schemas.microsoft.com/office/2006/metadata/properties"/>
    <ds:schemaRef ds:uri="http://schemas.microsoft.com/office/infopath/2007/PartnerControls"/>
    <ds:schemaRef ds:uri="3ef563e4-a684-4eea-bca7-75b3817198a1"/>
  </ds:schemaRefs>
</ds:datastoreItem>
</file>

<file path=customXml/itemProps3.xml><?xml version="1.0" encoding="utf-8"?>
<ds:datastoreItem xmlns:ds="http://schemas.openxmlformats.org/officeDocument/2006/customXml" ds:itemID="{68D1616F-2B78-4F0A-B541-EEC717030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f563e4-a684-4eea-bca7-75b3817198a1"/>
    <ds:schemaRef ds:uri="23825f18-a025-4d7c-842d-029e8d8147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620b0d5-df57-43ac-95c6-eb90d63e7a4b}" enabled="0" method="" siteId="{8620b0d5-df57-43ac-95c6-eb90d63e7a4b}"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1477</Words>
  <Characters>9221</Characters>
  <Application>Microsoft Office Word</Application>
  <DocSecurity>0</DocSecurity>
  <Lines>177</Lines>
  <Paragraphs>96</Paragraphs>
  <ScaleCrop>false</ScaleCrop>
  <Company>Ettevõte</Company>
  <LinksUpToDate>false</LinksUpToDate>
  <CharactersWithSpaces>10602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Eesti Advokatuur</dc:creator>
  <cp:keywords/>
  <cp:lastModifiedBy>Gerli Võimre</cp:lastModifiedBy>
  <cp:revision>2</cp:revision>
  <cp:lastPrinted>2024-09-25T12:29:00Z</cp:lastPrinted>
  <dcterms:created xsi:type="dcterms:W3CDTF">2026-10-13T11:00:00Z</dcterms:created>
  <dcterms:modified xsi:type="dcterms:W3CDTF">2026-10-13T11:00:00Z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0x010100583EBE023BF9C34BB62A80050EA21CD9</vt:lpwstr>
  </property>
  <property fmtid="{D5CDD505-2E9C-101B-9397-08002B2CF9AE}" pid="3" name="Order">
    <vt:r8>3400</vt:r8>
  </property>
  <property fmtid="{D5CDD505-2E9C-101B-9397-08002B2CF9AE}" pid="4" name="MediaServiceImageTags">
    <vt:lpwstr/>
  </property>
  <property fmtid="{D5CDD505-2E9C-101B-9397-08002B2CF9AE}" pid="5" name="docLang">
    <vt:lpwstr>et</vt:lpwstr>
  </property>
</Properties>
</file>